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9265" w14:textId="536E6479" w:rsidR="001F0457" w:rsidRPr="001F0457" w:rsidRDefault="001F0457" w:rsidP="002A4712">
      <w:pPr>
        <w:ind w:right="-569"/>
        <w:rPr>
          <w:rFonts w:ascii="Calibri" w:hAnsi="Calibri" w:cs="Calibri"/>
          <w:bCs/>
          <w:sz w:val="20"/>
          <w:szCs w:val="20"/>
          <w:lang w:val="de-DE"/>
        </w:rPr>
      </w:pPr>
      <w:r w:rsidRPr="001F0457">
        <w:rPr>
          <w:rFonts w:ascii="Calibri" w:hAnsi="Calibri" w:cs="Calibri"/>
          <w:bCs/>
          <w:sz w:val="20"/>
          <w:szCs w:val="20"/>
          <w:lang w:val="de-DE"/>
        </w:rPr>
        <w:t>Fensterbau Frontale, Nuremberg, d</w:t>
      </w:r>
      <w:r w:rsidRPr="001F0457">
        <w:rPr>
          <w:rFonts w:ascii="Calibri" w:hAnsi="Calibri" w:cs="Calibri"/>
          <w:bCs/>
          <w:sz w:val="20"/>
          <w:szCs w:val="20"/>
          <w:lang w:val="de-DE"/>
        </w:rPr>
        <w:t>el 19 al 22 de marzo de 2024</w:t>
      </w:r>
    </w:p>
    <w:p w14:paraId="2E14E0ED" w14:textId="30E4DC82" w:rsidR="001F0457" w:rsidRPr="001F0457" w:rsidRDefault="001F0457" w:rsidP="002A4712">
      <w:pPr>
        <w:ind w:right="-569"/>
        <w:rPr>
          <w:rFonts w:ascii="Calibri" w:hAnsi="Calibri" w:cs="Calibri"/>
          <w:bCs/>
          <w:sz w:val="20"/>
          <w:szCs w:val="20"/>
          <w:lang w:val="de-DE"/>
        </w:rPr>
      </w:pPr>
      <w:r w:rsidRPr="001F0457">
        <w:rPr>
          <w:rFonts w:ascii="Calibri" w:hAnsi="Calibri" w:cs="Calibri"/>
          <w:bCs/>
          <w:sz w:val="20"/>
          <w:szCs w:val="20"/>
          <w:lang w:val="de-DE"/>
        </w:rPr>
        <w:t>PR no. 10028-0019-03/2024</w:t>
      </w:r>
    </w:p>
    <w:p w14:paraId="3CAF0735" w14:textId="77777777" w:rsidR="001F0457" w:rsidRPr="001F0457" w:rsidRDefault="001F0457" w:rsidP="002A4712">
      <w:pPr>
        <w:ind w:right="-569"/>
        <w:rPr>
          <w:rFonts w:ascii="Calibri" w:hAnsi="Calibri" w:cs="Calibri"/>
          <w:b/>
          <w:sz w:val="28"/>
          <w:lang w:val="de-DE"/>
        </w:rPr>
      </w:pPr>
    </w:p>
    <w:p w14:paraId="63BCA82C" w14:textId="3DB72823" w:rsidR="002A4712" w:rsidRPr="001F0457" w:rsidRDefault="002A4712" w:rsidP="002A4712">
      <w:pPr>
        <w:ind w:right="-569"/>
        <w:rPr>
          <w:rFonts w:ascii="Calibri" w:hAnsi="Calibri" w:cs="Calibri"/>
          <w:b/>
          <w:bCs/>
          <w:sz w:val="28"/>
          <w:szCs w:val="28"/>
        </w:rPr>
      </w:pPr>
      <w:r w:rsidRPr="001F0457">
        <w:rPr>
          <w:rFonts w:ascii="Calibri" w:hAnsi="Calibri" w:cs="Calibri"/>
          <w:b/>
          <w:sz w:val="28"/>
        </w:rPr>
        <w:t>Girar, plegar, insertar</w:t>
      </w:r>
    </w:p>
    <w:p w14:paraId="1E67FBFB" w14:textId="2477E8BE" w:rsidR="002A4712" w:rsidRPr="001F0457" w:rsidRDefault="002A4712" w:rsidP="002A4712">
      <w:pPr>
        <w:ind w:right="-569"/>
        <w:rPr>
          <w:rFonts w:ascii="Calibri" w:hAnsi="Calibri" w:cs="Calibri"/>
          <w:b/>
          <w:bCs/>
        </w:rPr>
      </w:pPr>
      <w:r w:rsidRPr="001F0457">
        <w:rPr>
          <w:rFonts w:ascii="Calibri" w:hAnsi="Calibri" w:cs="Calibri"/>
          <w:b/>
        </w:rPr>
        <w:t>Cocinas con diseño versátil y paredes escamoteables</w:t>
      </w:r>
    </w:p>
    <w:p w14:paraId="3D39C12C" w14:textId="77777777" w:rsidR="002A4712" w:rsidRPr="001F0457" w:rsidRDefault="002A4712" w:rsidP="002A4712">
      <w:pPr>
        <w:ind w:right="-569"/>
        <w:rPr>
          <w:rFonts w:ascii="Calibri" w:hAnsi="Calibri" w:cs="Calibri"/>
        </w:rPr>
      </w:pPr>
    </w:p>
    <w:p w14:paraId="6B5348EB" w14:textId="1BCEA59C" w:rsidR="00AC464C" w:rsidRPr="001F0457" w:rsidRDefault="00603884" w:rsidP="001F0457">
      <w:pPr>
        <w:spacing w:line="274" w:lineRule="auto"/>
        <w:ind w:right="-567"/>
        <w:rPr>
          <w:rFonts w:ascii="Calibri" w:hAnsi="Calibri" w:cs="Calibri"/>
          <w:b/>
          <w:bCs/>
        </w:rPr>
      </w:pPr>
      <w:r w:rsidRPr="001F0457">
        <w:rPr>
          <w:rFonts w:ascii="Calibri" w:hAnsi="Calibri" w:cs="Calibri"/>
          <w:b/>
        </w:rPr>
        <w:t>Nuevas posibilidades para mantener el orden en el hogar. Espacios de almacenaje con soluciones inteligentes para recoger todo enseguida. Un diseño nítido y discreto en un color a juego con la decoración. Eso es lo que quieren actualmente los usuarios de las cocinas según un reciente estudio del instituto de estudios de mercado K&amp;A Brand Research*. Ahora los carpinteros y ebanistas tienen a su disposición una nueva generación de herrajes para puertas de madera escamoteables pivotantes y plegables que permiten diseñar y construir fácilmente muebles y soluciones a medida con esos requisitos.</w:t>
      </w:r>
    </w:p>
    <w:p w14:paraId="0F7ED592" w14:textId="77777777" w:rsidR="0045385F" w:rsidRPr="001F0457" w:rsidRDefault="0045385F" w:rsidP="001F0457">
      <w:pPr>
        <w:spacing w:line="274" w:lineRule="auto"/>
        <w:ind w:right="-567"/>
        <w:rPr>
          <w:rFonts w:ascii="Calibri" w:hAnsi="Calibri" w:cs="Calibri"/>
        </w:rPr>
      </w:pPr>
    </w:p>
    <w:p w14:paraId="3E2BB58C" w14:textId="7269A4A0" w:rsidR="00331FC0" w:rsidRPr="001F0457" w:rsidRDefault="000826D3" w:rsidP="001F0457">
      <w:pPr>
        <w:spacing w:line="274" w:lineRule="auto"/>
        <w:ind w:right="-567"/>
        <w:rPr>
          <w:rFonts w:ascii="Calibri" w:hAnsi="Calibri" w:cs="Calibri"/>
        </w:rPr>
      </w:pPr>
      <w:r w:rsidRPr="001F0457">
        <w:rPr>
          <w:rFonts w:ascii="Calibri" w:hAnsi="Calibri" w:cs="Calibri"/>
        </w:rPr>
        <w:t xml:space="preserve">La empresa suiza Hawa Sliding Solutions AG ha desarrollado la gama de herrajes Hawa Concepta III en estrecha colaboración con carpinteros y usuarios. Son herrajes que permiten la transformación funcional de muebles y espacios, y hacen desaparecer al instante un frente de cocina completo detrás de un armario enrasado a juego con la decoración. Todo ocurre en unos segundos, y la cocina y los electrodomésticos vuelven a aparecer igual de rápido después. Así las puertas no estorban y se ahorra espacio porque desaparecen en el hueco lateral. </w:t>
      </w:r>
    </w:p>
    <w:p w14:paraId="1D17F77A" w14:textId="77777777" w:rsidR="00331FC0" w:rsidRPr="001F0457" w:rsidRDefault="00331FC0" w:rsidP="001F0457">
      <w:pPr>
        <w:spacing w:line="274" w:lineRule="auto"/>
        <w:ind w:right="-567"/>
        <w:rPr>
          <w:rFonts w:ascii="Calibri" w:hAnsi="Calibri" w:cs="Calibri"/>
        </w:rPr>
      </w:pPr>
    </w:p>
    <w:p w14:paraId="4F9030DE" w14:textId="7BF3F1B6" w:rsidR="0045385F" w:rsidRPr="001F0457" w:rsidRDefault="001328D0" w:rsidP="001F0457">
      <w:pPr>
        <w:spacing w:line="274" w:lineRule="auto"/>
        <w:ind w:right="-567"/>
        <w:rPr>
          <w:rFonts w:ascii="Calibri" w:hAnsi="Calibri" w:cs="Calibri"/>
        </w:rPr>
      </w:pPr>
      <w:r w:rsidRPr="001F0457">
        <w:rPr>
          <w:rFonts w:ascii="Calibri" w:hAnsi="Calibri" w:cs="Calibri"/>
        </w:rPr>
        <w:t xml:space="preserve">Es un sistema patentado que permite ampliar o dividir las habitaciones, cambiar el ambiente cuando haga falta y alternar entre una cocina independiente o abierta al salón. También es una solución excelente para integrar un despacho en el hogar, o para aprovechar un cuarto de servicio como espacio multifuncional. </w:t>
      </w:r>
    </w:p>
    <w:p w14:paraId="61DA8AE8" w14:textId="77777777" w:rsidR="00533D06" w:rsidRPr="001F0457" w:rsidRDefault="00533D06" w:rsidP="001F0457">
      <w:pPr>
        <w:spacing w:line="274" w:lineRule="auto"/>
        <w:ind w:right="-567"/>
        <w:rPr>
          <w:rFonts w:ascii="Calibri" w:hAnsi="Calibri" w:cs="Calibri"/>
        </w:rPr>
      </w:pPr>
    </w:p>
    <w:p w14:paraId="1FC9F036" w14:textId="216B2B62" w:rsidR="00921685" w:rsidRPr="001F0457" w:rsidRDefault="00561102" w:rsidP="001F0457">
      <w:pPr>
        <w:spacing w:line="274" w:lineRule="auto"/>
        <w:ind w:right="-567"/>
        <w:rPr>
          <w:rFonts w:ascii="Calibri" w:hAnsi="Calibri" w:cs="Calibri"/>
          <w:b/>
          <w:bCs/>
        </w:rPr>
      </w:pPr>
      <w:r w:rsidRPr="001F0457">
        <w:rPr>
          <w:rFonts w:ascii="Calibri" w:hAnsi="Calibri" w:cs="Calibri"/>
          <w:b/>
        </w:rPr>
        <w:t xml:space="preserve">Diseño personalizado </w:t>
      </w:r>
    </w:p>
    <w:p w14:paraId="0702052F" w14:textId="77777777" w:rsidR="00D92FD8" w:rsidRPr="001F0457" w:rsidRDefault="00D92FD8" w:rsidP="001F0457">
      <w:pPr>
        <w:spacing w:line="274" w:lineRule="auto"/>
        <w:ind w:right="-567"/>
        <w:rPr>
          <w:rFonts w:ascii="Calibri" w:hAnsi="Calibri" w:cs="Calibri"/>
        </w:rPr>
      </w:pPr>
    </w:p>
    <w:p w14:paraId="7ADDCF56" w14:textId="1DBF8EFA" w:rsidR="00533D06" w:rsidRPr="001F0457" w:rsidRDefault="00533D06" w:rsidP="001F0457">
      <w:pPr>
        <w:spacing w:line="274" w:lineRule="auto"/>
        <w:ind w:right="-567"/>
        <w:rPr>
          <w:rFonts w:ascii="Calibri" w:hAnsi="Calibri" w:cs="Calibri"/>
        </w:rPr>
      </w:pPr>
      <w:r w:rsidRPr="001F0457">
        <w:rPr>
          <w:rFonts w:ascii="Calibri" w:hAnsi="Calibri" w:cs="Calibri"/>
        </w:rPr>
        <w:t xml:space="preserve">El herraje Hawa Concepta III para puertas pivotantes escamoteables admite todas las alturas y anchos de puerta, accionamiento con tirador o sin tirador, </w:t>
      </w:r>
      <w:r w:rsidRPr="001F0457">
        <w:rPr>
          <w:rFonts w:ascii="Calibri" w:hAnsi="Calibri" w:cs="Calibri"/>
        </w:rPr>
        <w:lastRenderedPageBreak/>
        <w:t xml:space="preserve">puertas enrasadas o sobrepuestas, y sirve tanto para armarios sobrepuestos como para frentes hasta el techo y separación de espacios. La gama se completará este año con el herraje Hawa Folding Concepta III para soluciones de dos y cuatro puertas, y soluciones de tres puertas sin pared central. </w:t>
      </w:r>
    </w:p>
    <w:p w14:paraId="0D733BD6" w14:textId="77777777" w:rsidR="006624BE" w:rsidRPr="001F0457" w:rsidRDefault="006624BE" w:rsidP="001F0457">
      <w:pPr>
        <w:spacing w:line="274" w:lineRule="auto"/>
        <w:ind w:right="-567"/>
        <w:rPr>
          <w:rFonts w:ascii="Calibri" w:hAnsi="Calibri" w:cs="Calibri"/>
          <w:b/>
          <w:bCs/>
        </w:rPr>
      </w:pPr>
    </w:p>
    <w:p w14:paraId="72F8EA33" w14:textId="2491EE64" w:rsidR="00533D06" w:rsidRPr="001F0457" w:rsidRDefault="00561102" w:rsidP="001F0457">
      <w:pPr>
        <w:spacing w:line="274" w:lineRule="auto"/>
        <w:ind w:right="-567"/>
        <w:rPr>
          <w:rFonts w:ascii="Calibri" w:hAnsi="Calibri" w:cs="Calibri"/>
          <w:b/>
          <w:bCs/>
        </w:rPr>
      </w:pPr>
      <w:r w:rsidRPr="001F0457">
        <w:rPr>
          <w:rFonts w:ascii="Calibri" w:hAnsi="Calibri" w:cs="Calibri"/>
          <w:b/>
        </w:rPr>
        <w:t>Planificación asistida</w:t>
      </w:r>
    </w:p>
    <w:p w14:paraId="4FF4690A" w14:textId="77777777" w:rsidR="00561102" w:rsidRPr="001F0457" w:rsidRDefault="00561102" w:rsidP="001F0457">
      <w:pPr>
        <w:spacing w:line="274" w:lineRule="auto"/>
        <w:ind w:right="-567"/>
        <w:rPr>
          <w:rFonts w:ascii="Calibri" w:hAnsi="Calibri" w:cs="Calibri"/>
        </w:rPr>
      </w:pPr>
    </w:p>
    <w:p w14:paraId="32B12FC0" w14:textId="59CAFD9B" w:rsidR="00533D06" w:rsidRPr="001F0457" w:rsidRDefault="00533D06" w:rsidP="001F0457">
      <w:pPr>
        <w:spacing w:line="274" w:lineRule="auto"/>
        <w:ind w:right="-567"/>
        <w:rPr>
          <w:rFonts w:ascii="Calibri" w:hAnsi="Calibri" w:cs="Calibri"/>
        </w:rPr>
      </w:pPr>
      <w:r w:rsidRPr="001F0457">
        <w:rPr>
          <w:rFonts w:ascii="Calibri" w:hAnsi="Calibri" w:cs="Calibri"/>
        </w:rPr>
        <w:t xml:space="preserve">Para simplificar la planificación, Hawa ha desarrollado un configurador cuya versión de demostración se presentará en la feria Holz-Handwerk de Nuremberg del 19 al  22 de marzo. El asistente digital —que después de la feria estará disponible en español, inglés, francés e italiano además de alemán—, guía al carpintero paso a paso y le presenta el herraje adecuado para sus soluciones a medida, incluyendo medidas de corte, planos de montaje en 2D, lista de piezas y datos en 3D con formato Step. </w:t>
      </w:r>
    </w:p>
    <w:p w14:paraId="59E94948" w14:textId="77777777" w:rsidR="001548B9" w:rsidRPr="001F0457" w:rsidRDefault="001548B9" w:rsidP="001F0457">
      <w:pPr>
        <w:spacing w:line="274" w:lineRule="auto"/>
        <w:ind w:right="-567"/>
        <w:rPr>
          <w:rFonts w:ascii="Calibri" w:hAnsi="Calibri" w:cs="Calibri"/>
        </w:rPr>
      </w:pPr>
    </w:p>
    <w:p w14:paraId="43AADB07" w14:textId="5AD782CE" w:rsidR="001548B9" w:rsidRPr="001F0457" w:rsidRDefault="00681B8B" w:rsidP="001F0457">
      <w:pPr>
        <w:spacing w:line="274" w:lineRule="auto"/>
        <w:ind w:right="-567"/>
        <w:rPr>
          <w:rFonts w:ascii="Calibri" w:hAnsi="Calibri" w:cs="Calibri"/>
          <w:b/>
          <w:bCs/>
        </w:rPr>
      </w:pPr>
      <w:r w:rsidRPr="001F0457">
        <w:rPr>
          <w:rFonts w:ascii="Calibri" w:hAnsi="Calibri" w:cs="Calibri"/>
          <w:b/>
        </w:rPr>
        <w:t xml:space="preserve">Montaje fácil y rápido </w:t>
      </w:r>
    </w:p>
    <w:p w14:paraId="661ACB2A" w14:textId="77777777" w:rsidR="00DD5C31" w:rsidRPr="001F0457" w:rsidRDefault="00DD5C31" w:rsidP="001F0457">
      <w:pPr>
        <w:spacing w:line="274" w:lineRule="auto"/>
        <w:ind w:right="-567"/>
        <w:rPr>
          <w:rFonts w:ascii="Calibri" w:hAnsi="Calibri" w:cs="Calibri"/>
        </w:rPr>
      </w:pPr>
    </w:p>
    <w:p w14:paraId="737A4073" w14:textId="35F50FC9" w:rsidR="00E50AAD" w:rsidRPr="001F0457" w:rsidRDefault="00E50AAD" w:rsidP="001F0457">
      <w:pPr>
        <w:spacing w:line="274" w:lineRule="auto"/>
        <w:ind w:right="-567"/>
        <w:rPr>
          <w:rFonts w:ascii="Calibri" w:hAnsi="Calibri" w:cs="Calibri"/>
        </w:rPr>
      </w:pPr>
      <w:r w:rsidRPr="001F0457">
        <w:rPr>
          <w:rFonts w:ascii="Calibri" w:hAnsi="Calibri" w:cs="Calibri"/>
        </w:rPr>
        <w:t>A diferencia de los herrajes estándar para puertas escamoteables, que resultan muy complicados de montar, el montaje de Hawa Concepta III es realmente sencillo gracias a sus componentes premontados, que ahorran mucho trabajo al carpintero y también requieren menos herramientas. El proceso de montaje de los tres componentes es rápido, en total levan 14 tornillos, y se realiza de manera intuitiva.</w:t>
      </w:r>
    </w:p>
    <w:p w14:paraId="1DECE0C7" w14:textId="77777777" w:rsidR="00E50AAD" w:rsidRPr="001F0457" w:rsidRDefault="00E50AAD" w:rsidP="001F0457">
      <w:pPr>
        <w:spacing w:line="274" w:lineRule="auto"/>
        <w:ind w:right="-567"/>
        <w:rPr>
          <w:rFonts w:ascii="Calibri" w:hAnsi="Calibri" w:cs="Calibri"/>
        </w:rPr>
      </w:pPr>
    </w:p>
    <w:p w14:paraId="483434A7" w14:textId="1C945EE3" w:rsidR="00F54A5E" w:rsidRPr="001F0457" w:rsidRDefault="00E50AAD" w:rsidP="001F0457">
      <w:pPr>
        <w:spacing w:line="274" w:lineRule="auto"/>
        <w:ind w:right="-567"/>
        <w:rPr>
          <w:rFonts w:ascii="Calibri" w:hAnsi="Calibri" w:cs="Calibri"/>
        </w:rPr>
      </w:pPr>
      <w:r w:rsidRPr="001F0457">
        <w:rPr>
          <w:rFonts w:ascii="Calibri" w:hAnsi="Calibri" w:cs="Calibri"/>
        </w:rPr>
        <w:t xml:space="preserve">Los cuatro ajustes finales —enderezar la puerta, graduar la ranura vertical y ajustar la altura y la profundidad— se realizan desde puntos fácilmente accesibles situados en posiciones lógicas. Estas facilidades para los carpinteros y ebanistas son fruto de la colaboración con profesionales del sector, interioristas, decoradores y usuarios durante el desarrollo de los nuevos herrajes Hawa Concepta III. </w:t>
      </w:r>
    </w:p>
    <w:p w14:paraId="3EF25F72" w14:textId="77777777" w:rsidR="00A42AE2" w:rsidRPr="001F0457" w:rsidRDefault="00A42AE2" w:rsidP="001F0457">
      <w:pPr>
        <w:spacing w:line="274" w:lineRule="auto"/>
        <w:ind w:right="-567"/>
        <w:rPr>
          <w:rFonts w:ascii="Calibri" w:hAnsi="Calibri" w:cs="Calibri"/>
        </w:rPr>
      </w:pPr>
    </w:p>
    <w:p w14:paraId="11A6444E" w14:textId="3131C57B" w:rsidR="0045385F" w:rsidRPr="001F0457" w:rsidRDefault="005F2BA8" w:rsidP="001F0457">
      <w:pPr>
        <w:spacing w:line="274" w:lineRule="auto"/>
        <w:ind w:right="-567"/>
        <w:rPr>
          <w:rFonts w:ascii="Calibri" w:hAnsi="Calibri" w:cs="Calibri"/>
          <w:b/>
          <w:bCs/>
        </w:rPr>
      </w:pPr>
      <w:r w:rsidRPr="001F0457">
        <w:rPr>
          <w:rFonts w:ascii="Calibri" w:hAnsi="Calibri" w:cs="Calibri"/>
          <w:b/>
        </w:rPr>
        <w:t>Manejo intuitivo y fascinante</w:t>
      </w:r>
    </w:p>
    <w:p w14:paraId="2DC93F89" w14:textId="77777777" w:rsidR="00C34483" w:rsidRPr="001F0457" w:rsidRDefault="00C34483" w:rsidP="001F0457">
      <w:pPr>
        <w:spacing w:line="274" w:lineRule="auto"/>
        <w:ind w:right="-567"/>
        <w:rPr>
          <w:rFonts w:ascii="Calibri" w:hAnsi="Calibri" w:cs="Calibri"/>
        </w:rPr>
      </w:pPr>
    </w:p>
    <w:p w14:paraId="47C482DE" w14:textId="75EB1375" w:rsidR="00C34483" w:rsidRPr="001F0457" w:rsidRDefault="00E50AAD" w:rsidP="001F0457">
      <w:pPr>
        <w:spacing w:line="274" w:lineRule="auto"/>
        <w:ind w:right="-567"/>
        <w:rPr>
          <w:rFonts w:ascii="Calibri" w:hAnsi="Calibri" w:cs="Calibri"/>
        </w:rPr>
      </w:pPr>
      <w:r w:rsidRPr="001F0457">
        <w:rPr>
          <w:rFonts w:ascii="Calibri" w:hAnsi="Calibri" w:cs="Calibri"/>
        </w:rPr>
        <w:t xml:space="preserve">Este año Hawa ha recibido el primer premio a la innovación en la cocina del certamen Kitchen Innovation Award por su nuevo sistema de herrajes. La </w:t>
      </w:r>
      <w:r w:rsidRPr="001F0457">
        <w:rPr>
          <w:rFonts w:ascii="Calibri" w:hAnsi="Calibri" w:cs="Calibri"/>
        </w:rPr>
        <w:lastRenderedPageBreak/>
        <w:t xml:space="preserve">familia de productos Hawa Concepta III obtuvo la máxima puntuación de los expertos del jurado y los consumidores alemanes encuestados, que calificaron su funcionalidad, comodidad de manejo, grado de innovación, utilidad del producto y diseño.  </w:t>
      </w:r>
    </w:p>
    <w:p w14:paraId="2FEDA42F" w14:textId="77777777" w:rsidR="000A6447" w:rsidRPr="001F0457" w:rsidRDefault="000A6447" w:rsidP="001F0457">
      <w:pPr>
        <w:spacing w:line="274" w:lineRule="auto"/>
        <w:ind w:right="-567"/>
        <w:rPr>
          <w:rFonts w:ascii="Calibri" w:hAnsi="Calibri" w:cs="Calibri"/>
        </w:rPr>
      </w:pPr>
    </w:p>
    <w:p w14:paraId="0A5C7061" w14:textId="25BEE97C" w:rsidR="00277D50" w:rsidRPr="001F0457" w:rsidRDefault="000A6447" w:rsidP="001F0457">
      <w:pPr>
        <w:spacing w:line="274" w:lineRule="auto"/>
        <w:ind w:right="-567"/>
        <w:rPr>
          <w:rFonts w:ascii="Calibri" w:hAnsi="Calibri" w:cs="Calibri"/>
        </w:rPr>
      </w:pPr>
      <w:r w:rsidRPr="001F0457">
        <w:rPr>
          <w:rFonts w:ascii="Calibri" w:hAnsi="Calibri" w:cs="Calibri"/>
        </w:rPr>
        <w:t xml:space="preserve">Además de convencer a los carpinteros y ebanistas, Hawa Concepta III les encanta a sus clientes porque las puertas se abren y se cierran sin esfuerzo, sencillamente tocándolas un par de veces. El líder del equipo de innovación de Hawa Concepta, Matthias Rothbrust, está seguro de que "todo el mundo lo hará bien a la primera", porque basta con un ligero toque para que el herraje se ponga en movimiento marcando la trayectoria. El sistema de movimiento asistido ergonómico garantiza el deslizamiento suave y fluido de las puertas, que se introducen sin holgura en el hueco atraídas por un imán. Gracias a la amortiguación de cierre integrada los movimientos son tan suaves y silenciosos que el manejo se convierte en una experiencia muy agradable para los usuarios. </w:t>
      </w:r>
    </w:p>
    <w:p w14:paraId="43B8F704" w14:textId="77777777" w:rsidR="005C74C6" w:rsidRDefault="005C74C6" w:rsidP="00885C9C">
      <w:pPr>
        <w:ind w:right="-569"/>
        <w:rPr>
          <w:rFonts w:ascii="Calibri" w:hAnsi="Calibri" w:cs="Calibri"/>
          <w:lang w:val="de-DE"/>
        </w:rPr>
      </w:pPr>
    </w:p>
    <w:p w14:paraId="18F53E8E" w14:textId="77777777" w:rsidR="001F0457" w:rsidRPr="001F0457" w:rsidRDefault="001F0457" w:rsidP="001F0457">
      <w:pPr>
        <w:ind w:right="-567"/>
        <w:rPr>
          <w:rFonts w:ascii="Calibri" w:hAnsi="Calibri" w:cs="Calibri"/>
          <w:sz w:val="20"/>
          <w:szCs w:val="20"/>
        </w:rPr>
      </w:pPr>
      <w:r w:rsidRPr="001F0457">
        <w:rPr>
          <w:rFonts w:ascii="Calibri" w:hAnsi="Calibri" w:cs="Calibri"/>
          <w:sz w:val="20"/>
        </w:rPr>
        <w:t xml:space="preserve">* K&amp;A Brand Research, con sede en Röthenbach (Alemania), lleva más de 35 años realizando estudios de psicología de mercado para el posicionamiento de diversas marcas en los contextos relevantes. El instituto también realiza los estudios anuales de tendencias para LifeCare.Network, la empresa promotora del prestigioso certamen internacional </w:t>
      </w:r>
      <w:r w:rsidRPr="001F0457">
        <w:rPr>
          <w:rFonts w:ascii="Calibri" w:hAnsi="Calibri" w:cs="Calibri"/>
          <w:i/>
          <w:sz w:val="20"/>
        </w:rPr>
        <w:t>Kitchen Innovation Award</w:t>
      </w:r>
      <w:r w:rsidRPr="001F0457">
        <w:rPr>
          <w:rFonts w:ascii="Calibri" w:hAnsi="Calibri" w:cs="Calibri"/>
          <w:sz w:val="20"/>
        </w:rPr>
        <w:t xml:space="preserve"> que se celebra anualmente para identificar las necesidades de los consumidores.</w:t>
      </w:r>
    </w:p>
    <w:p w14:paraId="64D9F768" w14:textId="77777777" w:rsidR="001F0457" w:rsidRPr="001F0457" w:rsidRDefault="001F0457" w:rsidP="001F0457">
      <w:pPr>
        <w:ind w:right="-567"/>
        <w:rPr>
          <w:rFonts w:ascii="Calibri" w:hAnsi="Calibri" w:cs="Calibri"/>
        </w:rPr>
      </w:pPr>
    </w:p>
    <w:p w14:paraId="3FFC23E5" w14:textId="77777777" w:rsidR="004F5AE5" w:rsidRPr="001F0457" w:rsidRDefault="004F5AE5" w:rsidP="001F0457">
      <w:pPr>
        <w:ind w:right="-567"/>
        <w:rPr>
          <w:rFonts w:ascii="Calibri" w:hAnsi="Calibri" w:cs="Calibri"/>
        </w:rPr>
      </w:pPr>
    </w:p>
    <w:p w14:paraId="7045F490" w14:textId="0BEBC2D6" w:rsidR="005C74C6" w:rsidRPr="001F0457" w:rsidRDefault="004F5AE5" w:rsidP="001F0457">
      <w:pPr>
        <w:ind w:right="-567"/>
        <w:rPr>
          <w:rFonts w:ascii="Calibri" w:hAnsi="Calibri" w:cs="Calibri"/>
        </w:rPr>
      </w:pPr>
      <w:r w:rsidRPr="001F0457">
        <w:rPr>
          <w:rFonts w:ascii="Calibri" w:hAnsi="Calibri" w:cs="Calibri"/>
        </w:rPr>
        <w:t>Pie de foto: Hawa Concepta III hace desaparecer al instante un frente de cocina completo detrás de un armario enrasado a juego con la decoración. Todo ocurre en unos segundos, y la cocina y los electrodomésticos vuelven a aparecer igual de rápido después. Así las puertas no estorban y se ahorra espacio porque desaparecen en el hueco lateral. Foto: Hawa Sliding Solutions AG</w:t>
      </w:r>
    </w:p>
    <w:p w14:paraId="24C986D5" w14:textId="77777777" w:rsidR="00603884" w:rsidRPr="001F0457" w:rsidRDefault="00603884" w:rsidP="00885C9C">
      <w:pPr>
        <w:ind w:right="-569"/>
        <w:rPr>
          <w:rFonts w:ascii="Calibri" w:hAnsi="Calibri" w:cs="Calibri"/>
        </w:rPr>
      </w:pPr>
    </w:p>
    <w:p w14:paraId="3F1332D1" w14:textId="77777777" w:rsidR="00603884" w:rsidRPr="001F0457" w:rsidRDefault="00603884" w:rsidP="00885C9C">
      <w:pPr>
        <w:ind w:right="-569"/>
        <w:rPr>
          <w:rFonts w:ascii="Calibri" w:hAnsi="Calibri" w:cs="Calibri"/>
        </w:rPr>
      </w:pPr>
    </w:p>
    <w:sectPr w:rsidR="00603884" w:rsidRPr="001F0457" w:rsidSect="005E0A00">
      <w:headerReference w:type="default" r:id="rId10"/>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BB76" w14:textId="77777777" w:rsidR="005E0A00" w:rsidRDefault="005E0A00" w:rsidP="001F0457">
      <w:r>
        <w:separator/>
      </w:r>
    </w:p>
  </w:endnote>
  <w:endnote w:type="continuationSeparator" w:id="0">
    <w:p w14:paraId="4C80A49C" w14:textId="77777777" w:rsidR="005E0A00" w:rsidRDefault="005E0A00" w:rsidP="001F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5325" w14:textId="77777777" w:rsidR="005E0A00" w:rsidRDefault="005E0A00" w:rsidP="001F0457">
      <w:r>
        <w:separator/>
      </w:r>
    </w:p>
  </w:footnote>
  <w:footnote w:type="continuationSeparator" w:id="0">
    <w:p w14:paraId="00110C10" w14:textId="77777777" w:rsidR="005E0A00" w:rsidRDefault="005E0A00" w:rsidP="001F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BB4E" w14:textId="77777777" w:rsidR="001F0457" w:rsidRPr="001F0457" w:rsidRDefault="001F0457" w:rsidP="001F0457">
    <w:pPr>
      <w:pStyle w:val="Kopfzeile"/>
      <w:jc w:val="right"/>
      <w:rPr>
        <w:rFonts w:ascii="Calibri" w:hAnsi="Calibri" w:cs="Calibri"/>
        <w:sz w:val="20"/>
        <w:szCs w:val="20"/>
      </w:rPr>
    </w:pPr>
    <w:r w:rsidRPr="001F0457">
      <w:rPr>
        <w:rFonts w:ascii="Calibri" w:hAnsi="Calibri" w:cs="Calibri"/>
        <w:sz w:val="20"/>
        <w:szCs w:val="20"/>
      </w:rPr>
      <w:t>Fensterbau Frontale, Nuremberg, del 19 al 22 de marzo de 2024</w:t>
    </w:r>
  </w:p>
  <w:p w14:paraId="09BFA1FE" w14:textId="4421E4C8" w:rsidR="001F0457" w:rsidRPr="001F0457" w:rsidRDefault="001F0457" w:rsidP="001F0457">
    <w:pPr>
      <w:pStyle w:val="Kopfzeile"/>
      <w:jc w:val="right"/>
      <w:rPr>
        <w:rFonts w:ascii="Calibri" w:hAnsi="Calibri" w:cs="Calibri"/>
        <w:sz w:val="20"/>
        <w:szCs w:val="20"/>
        <w:lang w:val="de-DE"/>
      </w:rPr>
    </w:pPr>
    <w:r w:rsidRPr="001F0457">
      <w:rPr>
        <w:rFonts w:ascii="Calibri" w:hAnsi="Calibri" w:cs="Calibri"/>
        <w:sz w:val="20"/>
        <w:szCs w:val="20"/>
      </w:rPr>
      <w:t>PR no. 10028-0019-03/2024</w:t>
    </w:r>
  </w:p>
  <w:p w14:paraId="17B642B3" w14:textId="77777777" w:rsidR="001F0457" w:rsidRPr="001F0457" w:rsidRDefault="001F0457" w:rsidP="001F0457">
    <w:pPr>
      <w:pStyle w:val="Kopfzeile"/>
      <w:jc w:val="right"/>
      <w:rPr>
        <w:rFonts w:ascii="Calibri" w:hAnsi="Calibri" w:cs="Calibri"/>
        <w:sz w:val="20"/>
        <w:szCs w:val="20"/>
      </w:rPr>
    </w:pPr>
    <w:r w:rsidRPr="001F0457">
      <w:rPr>
        <w:rFonts w:ascii="Calibri" w:hAnsi="Calibri" w:cs="Calibri"/>
        <w:sz w:val="20"/>
        <w:szCs w:val="20"/>
      </w:rPr>
      <w:t>Girar, plegar, insertar</w:t>
    </w:r>
  </w:p>
  <w:p w14:paraId="1F5ABF84" w14:textId="5F5CD187" w:rsidR="001F0457" w:rsidRPr="001F0457" w:rsidRDefault="001F0457" w:rsidP="001F0457">
    <w:pPr>
      <w:pStyle w:val="Kopfzeile"/>
      <w:jc w:val="right"/>
      <w:rPr>
        <w:rFonts w:ascii="Calibri" w:hAnsi="Calibri" w:cs="Calibri"/>
        <w:sz w:val="20"/>
        <w:szCs w:val="20"/>
        <w:lang w:val="en-GB"/>
      </w:rPr>
    </w:pPr>
    <w:r w:rsidRPr="001F0457">
      <w:rPr>
        <w:rFonts w:ascii="Calibri" w:hAnsi="Calibri" w:cs="Calibri"/>
        <w:sz w:val="20"/>
        <w:szCs w:val="20"/>
      </w:rPr>
      <w:t>Cocinas con diseño versátil y paredes escamoteables</w:t>
    </w:r>
    <w:r w:rsidRPr="001F0457">
      <w:rPr>
        <w:rFonts w:ascii="Calibri" w:hAnsi="Calibri" w:cs="Calibri"/>
        <w:sz w:val="20"/>
        <w:szCs w:val="20"/>
        <w:lang w:val="en-GB"/>
      </w:rPr>
      <w:t xml:space="preserve"> </w:t>
    </w:r>
    <w:r>
      <w:rPr>
        <w:rFonts w:ascii="Calibri" w:hAnsi="Calibri" w:cs="Calibri"/>
        <w:sz w:val="20"/>
        <w:szCs w:val="20"/>
        <w:lang w:val="en-GB"/>
      </w:rPr>
      <w:t xml:space="preserve">– Página </w:t>
    </w:r>
    <w:r w:rsidRPr="001F0457">
      <w:rPr>
        <w:rFonts w:ascii="Calibri" w:hAnsi="Calibri" w:cs="Calibri"/>
        <w:sz w:val="20"/>
        <w:szCs w:val="20"/>
        <w:lang w:val="en-GB"/>
      </w:rPr>
      <w:fldChar w:fldCharType="begin"/>
    </w:r>
    <w:r w:rsidRPr="001F0457">
      <w:rPr>
        <w:rFonts w:ascii="Calibri" w:hAnsi="Calibri" w:cs="Calibri"/>
        <w:sz w:val="20"/>
        <w:szCs w:val="20"/>
        <w:lang w:val="en-GB"/>
      </w:rPr>
      <w:instrText>PAGE   \* MERGEFORMAT</w:instrText>
    </w:r>
    <w:r w:rsidRPr="001F0457">
      <w:rPr>
        <w:rFonts w:ascii="Calibri" w:hAnsi="Calibri" w:cs="Calibri"/>
        <w:sz w:val="20"/>
        <w:szCs w:val="20"/>
        <w:lang w:val="en-GB"/>
      </w:rPr>
      <w:fldChar w:fldCharType="separate"/>
    </w:r>
    <w:r w:rsidRPr="001F0457">
      <w:rPr>
        <w:rFonts w:ascii="Calibri" w:hAnsi="Calibri" w:cs="Calibri"/>
        <w:sz w:val="20"/>
        <w:szCs w:val="20"/>
        <w:lang w:val="en-GB"/>
      </w:rPr>
      <w:t>1</w:t>
    </w:r>
    <w:r w:rsidRPr="001F0457">
      <w:rPr>
        <w:rFonts w:ascii="Calibri" w:hAnsi="Calibri" w:cs="Calibri"/>
        <w:sz w:val="20"/>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586E"/>
    <w:multiLevelType w:val="hybridMultilevel"/>
    <w:tmpl w:val="F9CA46CE"/>
    <w:lvl w:ilvl="0" w:tplc="EB8E535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423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12"/>
    <w:rsid w:val="00023991"/>
    <w:rsid w:val="00040882"/>
    <w:rsid w:val="000826D3"/>
    <w:rsid w:val="000A6447"/>
    <w:rsid w:val="000C1287"/>
    <w:rsid w:val="00110B48"/>
    <w:rsid w:val="001328D0"/>
    <w:rsid w:val="00145A92"/>
    <w:rsid w:val="001548B9"/>
    <w:rsid w:val="00174F4A"/>
    <w:rsid w:val="001E1090"/>
    <w:rsid w:val="001F0457"/>
    <w:rsid w:val="002068F4"/>
    <w:rsid w:val="002130BB"/>
    <w:rsid w:val="002131BE"/>
    <w:rsid w:val="00277D50"/>
    <w:rsid w:val="00286F87"/>
    <w:rsid w:val="0029571D"/>
    <w:rsid w:val="002A4712"/>
    <w:rsid w:val="002E45C1"/>
    <w:rsid w:val="002F121A"/>
    <w:rsid w:val="002F43C6"/>
    <w:rsid w:val="00331FC0"/>
    <w:rsid w:val="00367066"/>
    <w:rsid w:val="003F06FA"/>
    <w:rsid w:val="00424676"/>
    <w:rsid w:val="0045385F"/>
    <w:rsid w:val="004F3166"/>
    <w:rsid w:val="004F5AE5"/>
    <w:rsid w:val="00533D06"/>
    <w:rsid w:val="00535AF9"/>
    <w:rsid w:val="00561102"/>
    <w:rsid w:val="005C74C6"/>
    <w:rsid w:val="005E0A00"/>
    <w:rsid w:val="005F2BA8"/>
    <w:rsid w:val="00603884"/>
    <w:rsid w:val="006624BE"/>
    <w:rsid w:val="00681B8B"/>
    <w:rsid w:val="00686B63"/>
    <w:rsid w:val="006E138F"/>
    <w:rsid w:val="00710C57"/>
    <w:rsid w:val="00746850"/>
    <w:rsid w:val="007709C7"/>
    <w:rsid w:val="007867C0"/>
    <w:rsid w:val="007B2628"/>
    <w:rsid w:val="00833E90"/>
    <w:rsid w:val="008647C6"/>
    <w:rsid w:val="00880282"/>
    <w:rsid w:val="00885C9C"/>
    <w:rsid w:val="008D7BFC"/>
    <w:rsid w:val="00921685"/>
    <w:rsid w:val="00981079"/>
    <w:rsid w:val="00A17CFC"/>
    <w:rsid w:val="00A31A58"/>
    <w:rsid w:val="00A42AE2"/>
    <w:rsid w:val="00A51496"/>
    <w:rsid w:val="00A6697E"/>
    <w:rsid w:val="00A92490"/>
    <w:rsid w:val="00AB677C"/>
    <w:rsid w:val="00AC464C"/>
    <w:rsid w:val="00B1673E"/>
    <w:rsid w:val="00B619C2"/>
    <w:rsid w:val="00BB1A6A"/>
    <w:rsid w:val="00BC6611"/>
    <w:rsid w:val="00C34483"/>
    <w:rsid w:val="00D27839"/>
    <w:rsid w:val="00D92FD8"/>
    <w:rsid w:val="00DC0C0F"/>
    <w:rsid w:val="00DD0F27"/>
    <w:rsid w:val="00DD5C31"/>
    <w:rsid w:val="00DE2E3A"/>
    <w:rsid w:val="00E246F7"/>
    <w:rsid w:val="00E47346"/>
    <w:rsid w:val="00E50AAD"/>
    <w:rsid w:val="00E52293"/>
    <w:rsid w:val="00ED40AB"/>
    <w:rsid w:val="00F501F4"/>
    <w:rsid w:val="00F54A5E"/>
    <w:rsid w:val="00F55A15"/>
    <w:rsid w:val="00F6370C"/>
    <w:rsid w:val="00F929B4"/>
    <w:rsid w:val="00FA7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CB5A"/>
  <w15:chartTrackingRefBased/>
  <w15:docId w15:val="{4A1A4E33-577A-44E8-98EA-8DA81B95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47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A47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A471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A471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A471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A471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A471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A471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A471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471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A471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A471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A471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A471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A471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A471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A471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A4712"/>
    <w:rPr>
      <w:rFonts w:eastAsiaTheme="majorEastAsia" w:cstheme="majorBidi"/>
      <w:color w:val="272727" w:themeColor="text1" w:themeTint="D8"/>
    </w:rPr>
  </w:style>
  <w:style w:type="paragraph" w:styleId="Titel">
    <w:name w:val="Title"/>
    <w:basedOn w:val="Standard"/>
    <w:next w:val="Standard"/>
    <w:link w:val="TitelZchn"/>
    <w:uiPriority w:val="10"/>
    <w:qFormat/>
    <w:rsid w:val="002A471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471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A471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A471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A471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2A4712"/>
    <w:rPr>
      <w:i/>
      <w:iCs/>
      <w:color w:val="404040" w:themeColor="text1" w:themeTint="BF"/>
    </w:rPr>
  </w:style>
  <w:style w:type="paragraph" w:styleId="Listenabsatz">
    <w:name w:val="List Paragraph"/>
    <w:basedOn w:val="Standard"/>
    <w:uiPriority w:val="34"/>
    <w:qFormat/>
    <w:rsid w:val="002A4712"/>
    <w:pPr>
      <w:ind w:left="720"/>
      <w:contextualSpacing/>
    </w:pPr>
  </w:style>
  <w:style w:type="character" w:styleId="IntensiveHervorhebung">
    <w:name w:val="Intense Emphasis"/>
    <w:basedOn w:val="Absatz-Standardschriftart"/>
    <w:uiPriority w:val="21"/>
    <w:qFormat/>
    <w:rsid w:val="002A4712"/>
    <w:rPr>
      <w:i/>
      <w:iCs/>
      <w:color w:val="0F4761" w:themeColor="accent1" w:themeShade="BF"/>
    </w:rPr>
  </w:style>
  <w:style w:type="paragraph" w:styleId="IntensivesZitat">
    <w:name w:val="Intense Quote"/>
    <w:basedOn w:val="Standard"/>
    <w:next w:val="Standard"/>
    <w:link w:val="IntensivesZitatZchn"/>
    <w:uiPriority w:val="30"/>
    <w:qFormat/>
    <w:rsid w:val="002A47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A4712"/>
    <w:rPr>
      <w:i/>
      <w:iCs/>
      <w:color w:val="0F4761" w:themeColor="accent1" w:themeShade="BF"/>
    </w:rPr>
  </w:style>
  <w:style w:type="character" w:styleId="IntensiverVerweis">
    <w:name w:val="Intense Reference"/>
    <w:basedOn w:val="Absatz-Standardschriftart"/>
    <w:uiPriority w:val="32"/>
    <w:qFormat/>
    <w:rsid w:val="002A4712"/>
    <w:rPr>
      <w:b/>
      <w:bCs/>
      <w:smallCaps/>
      <w:color w:val="0F4761" w:themeColor="accent1" w:themeShade="BF"/>
      <w:spacing w:val="5"/>
    </w:rPr>
  </w:style>
  <w:style w:type="character" w:styleId="Hyperlink">
    <w:name w:val="Hyperlink"/>
    <w:basedOn w:val="Absatz-Standardschriftart"/>
    <w:uiPriority w:val="99"/>
    <w:unhideWhenUsed/>
    <w:rsid w:val="00A17CFC"/>
    <w:rPr>
      <w:color w:val="467886" w:themeColor="hyperlink"/>
      <w:u w:val="single"/>
    </w:rPr>
  </w:style>
  <w:style w:type="character" w:styleId="NichtaufgelsteErwhnung">
    <w:name w:val="Unresolved Mention"/>
    <w:basedOn w:val="Absatz-Standardschriftart"/>
    <w:uiPriority w:val="99"/>
    <w:semiHidden/>
    <w:unhideWhenUsed/>
    <w:rsid w:val="00A17CFC"/>
    <w:rPr>
      <w:color w:val="605E5C"/>
      <w:shd w:val="clear" w:color="auto" w:fill="E1DFDD"/>
    </w:rPr>
  </w:style>
  <w:style w:type="character" w:styleId="BesuchterLink">
    <w:name w:val="FollowedHyperlink"/>
    <w:basedOn w:val="Absatz-Standardschriftart"/>
    <w:uiPriority w:val="99"/>
    <w:semiHidden/>
    <w:unhideWhenUsed/>
    <w:rsid w:val="00DD5C31"/>
    <w:rPr>
      <w:color w:val="96607D" w:themeColor="followedHyperlink"/>
      <w:u w:val="single"/>
    </w:rPr>
  </w:style>
  <w:style w:type="paragraph" w:styleId="Kopfzeile">
    <w:name w:val="header"/>
    <w:basedOn w:val="Standard"/>
    <w:link w:val="KopfzeileZchn"/>
    <w:uiPriority w:val="99"/>
    <w:unhideWhenUsed/>
    <w:rsid w:val="001F0457"/>
    <w:pPr>
      <w:tabs>
        <w:tab w:val="center" w:pos="4536"/>
        <w:tab w:val="right" w:pos="9072"/>
      </w:tabs>
    </w:pPr>
  </w:style>
  <w:style w:type="character" w:customStyle="1" w:styleId="KopfzeileZchn">
    <w:name w:val="Kopfzeile Zchn"/>
    <w:basedOn w:val="Absatz-Standardschriftart"/>
    <w:link w:val="Kopfzeile"/>
    <w:uiPriority w:val="99"/>
    <w:rsid w:val="001F0457"/>
  </w:style>
  <w:style w:type="paragraph" w:styleId="Fuzeile">
    <w:name w:val="footer"/>
    <w:basedOn w:val="Standard"/>
    <w:link w:val="FuzeileZchn"/>
    <w:uiPriority w:val="99"/>
    <w:unhideWhenUsed/>
    <w:rsid w:val="001F0457"/>
    <w:pPr>
      <w:tabs>
        <w:tab w:val="center" w:pos="4536"/>
        <w:tab w:val="right" w:pos="9072"/>
      </w:tabs>
    </w:pPr>
  </w:style>
  <w:style w:type="character" w:customStyle="1" w:styleId="FuzeileZchn">
    <w:name w:val="Fußzeile Zchn"/>
    <w:basedOn w:val="Absatz-Standardschriftart"/>
    <w:link w:val="Fuzeile"/>
    <w:uiPriority w:val="99"/>
    <w:rsid w:val="001F0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8" ma:contentTypeDescription="Ein neues Dokument erstellen." ma:contentTypeScope="" ma:versionID="ab79f89473c6f3184f478b39e7c93562">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3c8bd8bfab80969ff8638b5fa213f22e"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0B081-DC8F-473F-8845-3F37645DA9F8}">
  <ds:schemaRefs>
    <ds:schemaRef ds:uri="http://schemas.openxmlformats.org/officeDocument/2006/bibliography"/>
  </ds:schemaRefs>
</ds:datastoreItem>
</file>

<file path=customXml/itemProps2.xml><?xml version="1.0" encoding="utf-8"?>
<ds:datastoreItem xmlns:ds="http://schemas.openxmlformats.org/officeDocument/2006/customXml" ds:itemID="{FA2644C7-882D-4FC8-BA6C-0C343CB4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EFB35-ED01-4297-AA8D-C959FDBD8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dcterms:created xsi:type="dcterms:W3CDTF">2024-03-16T09:40:00Z</dcterms:created>
  <dcterms:modified xsi:type="dcterms:W3CDTF">2024-03-16T09:41:00Z</dcterms:modified>
</cp:coreProperties>
</file>