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B20F" w14:textId="05302617" w:rsidR="002155B5" w:rsidRPr="002155B5" w:rsidRDefault="002155B5" w:rsidP="002A4712">
      <w:pPr>
        <w:ind w:right="-569"/>
        <w:rPr>
          <w:rFonts w:ascii="Calibri" w:hAnsi="Calibri" w:cs="Calibri"/>
          <w:bCs/>
          <w:sz w:val="20"/>
          <w:szCs w:val="20"/>
        </w:rPr>
      </w:pPr>
      <w:proofErr w:type="spellStart"/>
      <w:r w:rsidRPr="002155B5">
        <w:rPr>
          <w:rFonts w:ascii="Calibri" w:hAnsi="Calibri" w:cs="Calibri"/>
          <w:bCs/>
          <w:sz w:val="20"/>
          <w:szCs w:val="20"/>
        </w:rPr>
        <w:t>Fensterbau</w:t>
      </w:r>
      <w:proofErr w:type="spellEnd"/>
      <w:r w:rsidRPr="002155B5">
        <w:rPr>
          <w:rFonts w:ascii="Calibri" w:hAnsi="Calibri" w:cs="Calibri"/>
          <w:bCs/>
          <w:sz w:val="20"/>
          <w:szCs w:val="20"/>
        </w:rPr>
        <w:t xml:space="preserve"> Frontale, Nuremberg, </w:t>
      </w:r>
      <w:r w:rsidRPr="002155B5">
        <w:rPr>
          <w:rFonts w:ascii="Calibri" w:hAnsi="Calibri" w:cs="Calibri"/>
          <w:bCs/>
          <w:sz w:val="20"/>
          <w:szCs w:val="20"/>
        </w:rPr>
        <w:t>19 au 22 mars 2024</w:t>
      </w:r>
    </w:p>
    <w:p w14:paraId="539C12A5" w14:textId="77777777" w:rsidR="002155B5" w:rsidRPr="002155B5" w:rsidRDefault="002155B5" w:rsidP="002A4712">
      <w:pPr>
        <w:ind w:right="-569"/>
        <w:rPr>
          <w:rFonts w:ascii="Calibri" w:hAnsi="Calibri" w:cs="Calibri"/>
          <w:bCs/>
          <w:sz w:val="20"/>
          <w:szCs w:val="20"/>
        </w:rPr>
      </w:pPr>
      <w:r w:rsidRPr="002155B5">
        <w:rPr>
          <w:rFonts w:ascii="Calibri" w:hAnsi="Calibri" w:cs="Calibri"/>
          <w:bCs/>
          <w:sz w:val="20"/>
          <w:szCs w:val="20"/>
        </w:rPr>
        <w:t>PR no. 10028-0019-03/2024</w:t>
      </w:r>
    </w:p>
    <w:p w14:paraId="57607FDF" w14:textId="77777777" w:rsidR="002155B5" w:rsidRPr="002155B5" w:rsidRDefault="002155B5" w:rsidP="002A4712">
      <w:pPr>
        <w:ind w:right="-569"/>
        <w:rPr>
          <w:rFonts w:ascii="Calibri" w:hAnsi="Calibri" w:cs="Calibri"/>
          <w:b/>
          <w:sz w:val="28"/>
        </w:rPr>
      </w:pPr>
    </w:p>
    <w:p w14:paraId="63BCA82C" w14:textId="25841684" w:rsidR="002A4712" w:rsidRPr="002155B5" w:rsidRDefault="002A4712" w:rsidP="002A4712">
      <w:pPr>
        <w:ind w:right="-569"/>
        <w:rPr>
          <w:rFonts w:ascii="Calibri" w:hAnsi="Calibri" w:cs="Calibri"/>
          <w:b/>
          <w:bCs/>
          <w:sz w:val="28"/>
          <w:szCs w:val="28"/>
        </w:rPr>
      </w:pPr>
      <w:r w:rsidRPr="002155B5">
        <w:rPr>
          <w:rFonts w:ascii="Calibri" w:hAnsi="Calibri" w:cs="Calibri"/>
          <w:b/>
          <w:sz w:val="28"/>
        </w:rPr>
        <w:t>Pivoter, replier, escamoter</w:t>
      </w:r>
    </w:p>
    <w:p w14:paraId="1E67FBFB" w14:textId="2477E8BE" w:rsidR="002A4712" w:rsidRPr="002155B5" w:rsidRDefault="002A4712" w:rsidP="002A4712">
      <w:pPr>
        <w:ind w:right="-569"/>
        <w:rPr>
          <w:rFonts w:ascii="Calibri" w:hAnsi="Calibri" w:cs="Calibri"/>
          <w:b/>
          <w:bCs/>
        </w:rPr>
      </w:pPr>
      <w:r w:rsidRPr="002155B5">
        <w:rPr>
          <w:rFonts w:ascii="Calibri" w:hAnsi="Calibri" w:cs="Calibri"/>
          <w:b/>
        </w:rPr>
        <w:t>Aménagement flexible de la cuisine en un tournemain</w:t>
      </w:r>
    </w:p>
    <w:p w14:paraId="3D39C12C" w14:textId="77777777" w:rsidR="002A4712" w:rsidRPr="002155B5" w:rsidRDefault="002A4712" w:rsidP="002A4712">
      <w:pPr>
        <w:ind w:right="-569"/>
        <w:rPr>
          <w:rFonts w:ascii="Calibri" w:hAnsi="Calibri" w:cs="Calibri"/>
        </w:rPr>
      </w:pPr>
    </w:p>
    <w:p w14:paraId="6B5348EB" w14:textId="1BCEA59C" w:rsidR="00AC464C" w:rsidRPr="002155B5" w:rsidRDefault="00603884" w:rsidP="002155B5">
      <w:pPr>
        <w:spacing w:line="274" w:lineRule="auto"/>
        <w:ind w:right="-567"/>
        <w:rPr>
          <w:rFonts w:ascii="Calibri" w:hAnsi="Calibri" w:cs="Calibri"/>
          <w:b/>
          <w:bCs/>
        </w:rPr>
      </w:pPr>
      <w:r w:rsidRPr="002155B5">
        <w:rPr>
          <w:rFonts w:ascii="Calibri" w:hAnsi="Calibri" w:cs="Calibri"/>
          <w:b/>
        </w:rPr>
        <w:t xml:space="preserve">Des possibilités innovantes pour mettre de l’ordre facilement. Des solutions intelligentes d’espaces de rangement qui permettent de ranger rapidement. Une conception épurée et discrète dans des couleurs uniformes. C’est ce que désirent les utilisateurs de cuisines selon une étude récente de l’institut d’études de marché K&amp;A Brand </w:t>
      </w:r>
      <w:proofErr w:type="spellStart"/>
      <w:r w:rsidRPr="002155B5">
        <w:rPr>
          <w:rFonts w:ascii="Calibri" w:hAnsi="Calibri" w:cs="Calibri"/>
          <w:b/>
        </w:rPr>
        <w:t>Research</w:t>
      </w:r>
      <w:proofErr w:type="spellEnd"/>
      <w:r w:rsidRPr="002155B5">
        <w:rPr>
          <w:rFonts w:ascii="Calibri" w:hAnsi="Calibri" w:cs="Calibri"/>
          <w:b/>
        </w:rPr>
        <w:t>*. Dorénavant, une nouvelle génération de ferrures pour portes à pivotement, coulissement-repliement et escamotage en bois permet aussi aux menuisiers et aux ébénistes dans le secteur de l’ameublement et de la décoration d’intérieur de satisfaire facilement leurs clients.</w:t>
      </w:r>
    </w:p>
    <w:p w14:paraId="0F7ED592" w14:textId="77777777" w:rsidR="0045385F" w:rsidRPr="002155B5" w:rsidRDefault="0045385F" w:rsidP="002155B5">
      <w:pPr>
        <w:spacing w:line="274" w:lineRule="auto"/>
        <w:ind w:right="-567"/>
        <w:rPr>
          <w:rFonts w:ascii="Calibri" w:hAnsi="Calibri" w:cs="Calibri"/>
        </w:rPr>
      </w:pPr>
    </w:p>
    <w:p w14:paraId="3E2BB58C" w14:textId="7269A4A0" w:rsidR="00331FC0" w:rsidRPr="002155B5" w:rsidRDefault="000826D3" w:rsidP="002155B5">
      <w:pPr>
        <w:spacing w:line="274" w:lineRule="auto"/>
        <w:ind w:right="-567"/>
        <w:rPr>
          <w:rFonts w:ascii="Calibri" w:hAnsi="Calibri" w:cs="Calibri"/>
        </w:rPr>
      </w:pPr>
      <w:r w:rsidRPr="002155B5">
        <w:rPr>
          <w:rFonts w:ascii="Calibri" w:hAnsi="Calibri" w:cs="Calibri"/>
        </w:rPr>
        <w:t xml:space="preserve">En collaboration avec des ébénistes-menuisiers et des utilisateurs, l’entreprise suisse Hawa </w:t>
      </w:r>
      <w:proofErr w:type="spellStart"/>
      <w:r w:rsidRPr="002155B5">
        <w:rPr>
          <w:rFonts w:ascii="Calibri" w:hAnsi="Calibri" w:cs="Calibri"/>
        </w:rPr>
        <w:t>Sliding</w:t>
      </w:r>
      <w:proofErr w:type="spellEnd"/>
      <w:r w:rsidRPr="002155B5">
        <w:rPr>
          <w:rFonts w:ascii="Calibri" w:hAnsi="Calibri" w:cs="Calibri"/>
        </w:rPr>
        <w:t xml:space="preserve"> Solutions AG a développé la nouvelle famille « Hawa </w:t>
      </w:r>
      <w:proofErr w:type="spellStart"/>
      <w:r w:rsidRPr="002155B5">
        <w:rPr>
          <w:rFonts w:ascii="Calibri" w:hAnsi="Calibri" w:cs="Calibri"/>
        </w:rPr>
        <w:t>Concepta</w:t>
      </w:r>
      <w:proofErr w:type="spellEnd"/>
      <w:r w:rsidRPr="002155B5">
        <w:rPr>
          <w:rFonts w:ascii="Calibri" w:hAnsi="Calibri" w:cs="Calibri"/>
        </w:rPr>
        <w:t xml:space="preserve"> III ». Le nom est synonyme du grand savoir-faire en transformation du meuble. Des cuisines linéaires entières disparaissent soigneusement en un tournemain derrière une façade uniforme et affleurante. Ou des fonctions de la cuisine auparavant dissimulée deviennent disponibles en quelques secondes. Les portes ne gênent plus et sont rangées sans encombrement dans un galandage latéral. </w:t>
      </w:r>
    </w:p>
    <w:p w14:paraId="1D17F77A" w14:textId="77777777" w:rsidR="00331FC0" w:rsidRPr="002155B5" w:rsidRDefault="00331FC0" w:rsidP="002155B5">
      <w:pPr>
        <w:spacing w:line="274" w:lineRule="auto"/>
        <w:ind w:right="-567"/>
        <w:rPr>
          <w:rFonts w:ascii="Calibri" w:hAnsi="Calibri" w:cs="Calibri"/>
        </w:rPr>
      </w:pPr>
    </w:p>
    <w:p w14:paraId="4F9030DE" w14:textId="7BF3F1B6" w:rsidR="0045385F" w:rsidRPr="002155B5" w:rsidRDefault="001328D0" w:rsidP="002155B5">
      <w:pPr>
        <w:spacing w:line="274" w:lineRule="auto"/>
        <w:ind w:right="-567"/>
        <w:rPr>
          <w:rFonts w:ascii="Calibri" w:hAnsi="Calibri" w:cs="Calibri"/>
        </w:rPr>
      </w:pPr>
      <w:r w:rsidRPr="002155B5">
        <w:rPr>
          <w:rFonts w:ascii="Calibri" w:hAnsi="Calibri" w:cs="Calibri"/>
        </w:rPr>
        <w:t xml:space="preserve">Cette solution brevetée redimensionne la pièce et en modifie sa perception de manière flexible selon les besoins. Elle veille à la différence entre une cuisine fermée ou ouverte sur le salon. Et elle crée la base de transformer les cuisines en des espaces multifonctionnels en intégrant un bureau à domicile ou une buanderie. </w:t>
      </w:r>
    </w:p>
    <w:p w14:paraId="61DA8AE8" w14:textId="77777777" w:rsidR="00533D06" w:rsidRPr="002155B5" w:rsidRDefault="00533D06" w:rsidP="002155B5">
      <w:pPr>
        <w:spacing w:line="274" w:lineRule="auto"/>
        <w:ind w:right="-567"/>
        <w:rPr>
          <w:rFonts w:ascii="Calibri" w:hAnsi="Calibri" w:cs="Calibri"/>
        </w:rPr>
      </w:pPr>
    </w:p>
    <w:p w14:paraId="1FC9F036" w14:textId="216B2B62" w:rsidR="00921685" w:rsidRPr="002155B5" w:rsidRDefault="00561102" w:rsidP="002155B5">
      <w:pPr>
        <w:spacing w:line="274" w:lineRule="auto"/>
        <w:ind w:right="-567"/>
        <w:rPr>
          <w:rFonts w:ascii="Calibri" w:hAnsi="Calibri" w:cs="Calibri"/>
          <w:b/>
          <w:bCs/>
        </w:rPr>
      </w:pPr>
      <w:r w:rsidRPr="002155B5">
        <w:rPr>
          <w:rFonts w:ascii="Calibri" w:hAnsi="Calibri" w:cs="Calibri"/>
          <w:b/>
        </w:rPr>
        <w:t xml:space="preserve">Aménagement individuel </w:t>
      </w:r>
    </w:p>
    <w:p w14:paraId="0702052F" w14:textId="77777777" w:rsidR="00D92FD8" w:rsidRPr="002155B5" w:rsidRDefault="00D92FD8" w:rsidP="002155B5">
      <w:pPr>
        <w:spacing w:line="274" w:lineRule="auto"/>
        <w:ind w:right="-567"/>
        <w:rPr>
          <w:rFonts w:ascii="Calibri" w:hAnsi="Calibri" w:cs="Calibri"/>
        </w:rPr>
      </w:pPr>
    </w:p>
    <w:p w14:paraId="7ADDCF56" w14:textId="1DBF8EFA" w:rsidR="00533D06" w:rsidRPr="002155B5" w:rsidRDefault="00533D06" w:rsidP="002155B5">
      <w:pPr>
        <w:spacing w:line="274" w:lineRule="auto"/>
        <w:ind w:right="-567"/>
        <w:rPr>
          <w:rFonts w:ascii="Calibri" w:hAnsi="Calibri" w:cs="Calibri"/>
        </w:rPr>
      </w:pPr>
      <w:r w:rsidRPr="002155B5">
        <w:rPr>
          <w:rFonts w:ascii="Calibri" w:hAnsi="Calibri" w:cs="Calibri"/>
        </w:rPr>
        <w:t xml:space="preserve">Indépendamment de la hauteur et de la largeur de la porte, que ce soit une solution Pull avec poignée ou une solution Push sans poignée, que ce soit </w:t>
      </w:r>
      <w:r w:rsidRPr="002155B5">
        <w:rPr>
          <w:rFonts w:ascii="Calibri" w:hAnsi="Calibri" w:cs="Calibri"/>
        </w:rPr>
        <w:lastRenderedPageBreak/>
        <w:t xml:space="preserve">pour des armoires superposées ou des solutions à hauteur de plafond et accessibles, qu’elle soit encastrée ou en applique, la ferrure pivotante et escamotable « Hawa </w:t>
      </w:r>
      <w:proofErr w:type="spellStart"/>
      <w:r w:rsidRPr="002155B5">
        <w:rPr>
          <w:rFonts w:ascii="Calibri" w:hAnsi="Calibri" w:cs="Calibri"/>
        </w:rPr>
        <w:t>Concepta</w:t>
      </w:r>
      <w:proofErr w:type="spellEnd"/>
      <w:r w:rsidRPr="002155B5">
        <w:rPr>
          <w:rFonts w:ascii="Calibri" w:hAnsi="Calibri" w:cs="Calibri"/>
        </w:rPr>
        <w:t xml:space="preserve"> III » offre une grande diversité de variantes qui sera complétée en cours d’année par la ferrure à coulissement-repliement et escamotage « Hawa </w:t>
      </w:r>
      <w:proofErr w:type="spellStart"/>
      <w:r w:rsidRPr="002155B5">
        <w:rPr>
          <w:rFonts w:ascii="Calibri" w:hAnsi="Calibri" w:cs="Calibri"/>
        </w:rPr>
        <w:t>Folding</w:t>
      </w:r>
      <w:proofErr w:type="spellEnd"/>
      <w:r w:rsidRPr="002155B5">
        <w:rPr>
          <w:rFonts w:ascii="Calibri" w:hAnsi="Calibri" w:cs="Calibri"/>
        </w:rPr>
        <w:t xml:space="preserve"> </w:t>
      </w:r>
      <w:proofErr w:type="spellStart"/>
      <w:r w:rsidRPr="002155B5">
        <w:rPr>
          <w:rFonts w:ascii="Calibri" w:hAnsi="Calibri" w:cs="Calibri"/>
        </w:rPr>
        <w:t>Concepta</w:t>
      </w:r>
      <w:proofErr w:type="spellEnd"/>
      <w:r w:rsidRPr="002155B5">
        <w:rPr>
          <w:rFonts w:ascii="Calibri" w:hAnsi="Calibri" w:cs="Calibri"/>
        </w:rPr>
        <w:t xml:space="preserve"> III » pour des solutions à deux et quatre portes, mais aussi à trois portes sans cloison médiane. </w:t>
      </w:r>
    </w:p>
    <w:p w14:paraId="0D733BD6" w14:textId="77777777" w:rsidR="006624BE" w:rsidRPr="002155B5" w:rsidRDefault="006624BE" w:rsidP="002155B5">
      <w:pPr>
        <w:spacing w:line="274" w:lineRule="auto"/>
        <w:ind w:right="-567"/>
        <w:rPr>
          <w:rFonts w:ascii="Calibri" w:hAnsi="Calibri" w:cs="Calibri"/>
          <w:b/>
          <w:bCs/>
        </w:rPr>
      </w:pPr>
    </w:p>
    <w:p w14:paraId="72F8EA33" w14:textId="2491EE64" w:rsidR="00533D06" w:rsidRPr="002155B5" w:rsidRDefault="00561102" w:rsidP="002155B5">
      <w:pPr>
        <w:spacing w:line="274" w:lineRule="auto"/>
        <w:ind w:right="-567"/>
        <w:rPr>
          <w:rFonts w:ascii="Calibri" w:hAnsi="Calibri" w:cs="Calibri"/>
          <w:b/>
          <w:bCs/>
        </w:rPr>
      </w:pPr>
      <w:r w:rsidRPr="002155B5">
        <w:rPr>
          <w:rFonts w:ascii="Calibri" w:hAnsi="Calibri" w:cs="Calibri"/>
          <w:b/>
        </w:rPr>
        <w:t>Aide à la conception</w:t>
      </w:r>
    </w:p>
    <w:p w14:paraId="4FF4690A" w14:textId="77777777" w:rsidR="00561102" w:rsidRPr="002155B5" w:rsidRDefault="00561102" w:rsidP="002155B5">
      <w:pPr>
        <w:spacing w:line="274" w:lineRule="auto"/>
        <w:ind w:right="-567"/>
        <w:rPr>
          <w:rFonts w:ascii="Calibri" w:hAnsi="Calibri" w:cs="Calibri"/>
        </w:rPr>
      </w:pPr>
    </w:p>
    <w:p w14:paraId="32B12FC0" w14:textId="59CAFD9B" w:rsidR="00533D06" w:rsidRPr="002155B5" w:rsidRDefault="00533D06" w:rsidP="002155B5">
      <w:pPr>
        <w:spacing w:line="274" w:lineRule="auto"/>
        <w:ind w:right="-567"/>
        <w:rPr>
          <w:rFonts w:ascii="Calibri" w:hAnsi="Calibri" w:cs="Calibri"/>
        </w:rPr>
      </w:pPr>
      <w:r w:rsidRPr="002155B5">
        <w:rPr>
          <w:rFonts w:ascii="Calibri" w:hAnsi="Calibri" w:cs="Calibri"/>
        </w:rPr>
        <w:t xml:space="preserve">Un configurateur, présenté dans un premier temps dans une version de démonstration par Hawa au salon Holz-Handwerk qui se tiendra du 19 au 22 mars 2024 à Nuremberg, offre une aide à la conception. L’assistant numérique, disponible après le salon en cinq langues, à savoir l’allemand, l’anglais, le français, l’italien et l’espagnol), guidera l’ébéniste-menuisier pas à pas dans sa conception. Il propose la ferrure adaptée à la solution </w:t>
      </w:r>
      <w:proofErr w:type="spellStart"/>
      <w:r w:rsidRPr="002155B5">
        <w:rPr>
          <w:rFonts w:ascii="Calibri" w:hAnsi="Calibri" w:cs="Calibri"/>
        </w:rPr>
        <w:t>aui</w:t>
      </w:r>
      <w:proofErr w:type="spellEnd"/>
      <w:r w:rsidRPr="002155B5">
        <w:rPr>
          <w:rFonts w:ascii="Calibri" w:hAnsi="Calibri" w:cs="Calibri"/>
        </w:rPr>
        <w:t xml:space="preserve"> sera individuellement configurée, y compris les dimensions de coupe, les plans de construction 2D, la nomenclature et les données </w:t>
      </w:r>
      <w:proofErr w:type="spellStart"/>
      <w:r w:rsidRPr="002155B5">
        <w:rPr>
          <w:rFonts w:ascii="Calibri" w:hAnsi="Calibri" w:cs="Calibri"/>
        </w:rPr>
        <w:t>step</w:t>
      </w:r>
      <w:proofErr w:type="spellEnd"/>
      <w:r w:rsidRPr="002155B5">
        <w:rPr>
          <w:rFonts w:ascii="Calibri" w:hAnsi="Calibri" w:cs="Calibri"/>
        </w:rPr>
        <w:t xml:space="preserve"> 3D. </w:t>
      </w:r>
    </w:p>
    <w:p w14:paraId="59E94948" w14:textId="77777777" w:rsidR="001548B9" w:rsidRPr="002155B5" w:rsidRDefault="001548B9" w:rsidP="002155B5">
      <w:pPr>
        <w:spacing w:line="274" w:lineRule="auto"/>
        <w:ind w:right="-567"/>
        <w:rPr>
          <w:rFonts w:ascii="Calibri" w:hAnsi="Calibri" w:cs="Calibri"/>
        </w:rPr>
      </w:pPr>
    </w:p>
    <w:p w14:paraId="43AADB07" w14:textId="5AD782CE" w:rsidR="001548B9" w:rsidRPr="002155B5" w:rsidRDefault="00681B8B" w:rsidP="002155B5">
      <w:pPr>
        <w:spacing w:line="274" w:lineRule="auto"/>
        <w:ind w:right="-567"/>
        <w:rPr>
          <w:rFonts w:ascii="Calibri" w:hAnsi="Calibri" w:cs="Calibri"/>
          <w:b/>
          <w:bCs/>
        </w:rPr>
      </w:pPr>
      <w:r w:rsidRPr="002155B5">
        <w:rPr>
          <w:rFonts w:ascii="Calibri" w:hAnsi="Calibri" w:cs="Calibri"/>
          <w:b/>
        </w:rPr>
        <w:t xml:space="preserve">Montage rapide et facile </w:t>
      </w:r>
    </w:p>
    <w:p w14:paraId="661ACB2A" w14:textId="77777777" w:rsidR="00DD5C31" w:rsidRPr="002155B5" w:rsidRDefault="00DD5C31" w:rsidP="002155B5">
      <w:pPr>
        <w:spacing w:line="274" w:lineRule="auto"/>
        <w:ind w:right="-567"/>
        <w:rPr>
          <w:rFonts w:ascii="Calibri" w:hAnsi="Calibri" w:cs="Calibri"/>
        </w:rPr>
      </w:pPr>
    </w:p>
    <w:p w14:paraId="737A4073" w14:textId="35F50FC9" w:rsidR="00E50AAD" w:rsidRPr="002155B5" w:rsidRDefault="00E50AAD" w:rsidP="002155B5">
      <w:pPr>
        <w:spacing w:line="274" w:lineRule="auto"/>
        <w:ind w:right="-567"/>
        <w:rPr>
          <w:rFonts w:ascii="Calibri" w:hAnsi="Calibri" w:cs="Calibri"/>
        </w:rPr>
      </w:pPr>
      <w:r w:rsidRPr="002155B5">
        <w:rPr>
          <w:rFonts w:ascii="Calibri" w:hAnsi="Calibri" w:cs="Calibri"/>
        </w:rPr>
        <w:t xml:space="preserve">Alors que les ferrures de coulissement-pivotement et d’escamotage traditionnelles sont assez complexes, la pose de « Hawa </w:t>
      </w:r>
      <w:proofErr w:type="spellStart"/>
      <w:r w:rsidRPr="002155B5">
        <w:rPr>
          <w:rFonts w:ascii="Calibri" w:hAnsi="Calibri" w:cs="Calibri"/>
        </w:rPr>
        <w:t>Concepta</w:t>
      </w:r>
      <w:proofErr w:type="spellEnd"/>
      <w:r w:rsidRPr="002155B5">
        <w:rPr>
          <w:rFonts w:ascii="Calibri" w:hAnsi="Calibri" w:cs="Calibri"/>
        </w:rPr>
        <w:t xml:space="preserve"> III » est nettement plus facile pour l’ébéniste-menuisier. Le haut degré de prémontage réduit la charge de travail et le nombre d’outils requis. Ainsi, les trois composants et les 14 vis sont installés rapidement et intuitivement.</w:t>
      </w:r>
    </w:p>
    <w:p w14:paraId="1DECE0C7" w14:textId="77777777" w:rsidR="00E50AAD" w:rsidRPr="002155B5" w:rsidRDefault="00E50AAD" w:rsidP="002155B5">
      <w:pPr>
        <w:spacing w:line="274" w:lineRule="auto"/>
        <w:ind w:right="-567"/>
        <w:rPr>
          <w:rFonts w:ascii="Calibri" w:hAnsi="Calibri" w:cs="Calibri"/>
        </w:rPr>
      </w:pPr>
    </w:p>
    <w:p w14:paraId="483434A7" w14:textId="6C51EC4C" w:rsidR="00F54A5E" w:rsidRDefault="00E50AAD" w:rsidP="002155B5">
      <w:pPr>
        <w:spacing w:line="274" w:lineRule="auto"/>
        <w:ind w:right="-567"/>
        <w:rPr>
          <w:rFonts w:ascii="Calibri" w:hAnsi="Calibri" w:cs="Calibri"/>
        </w:rPr>
      </w:pPr>
      <w:r w:rsidRPr="002155B5">
        <w:rPr>
          <w:rFonts w:ascii="Calibri" w:hAnsi="Calibri" w:cs="Calibri"/>
        </w:rPr>
        <w:t>Des points de réglage bien positionnés et facilement accessibles permettent de régler la porte en quatre dimensions, à savoir la mise à la verticale de la porte, le calage du joint vertical ainsi que le réglage en hauteur et en profondeur. Le menuisier profite justement à ce niveau de la participation directe d’utilisateurs, d’architectes d’intérieur, de planificateurs et de collègues qui ont directement influencé le développement de la nouvelle</w:t>
      </w:r>
      <w:r w:rsidR="002155B5">
        <w:rPr>
          <w:rFonts w:ascii="Calibri" w:hAnsi="Calibri" w:cs="Calibri"/>
        </w:rPr>
        <w:t xml:space="preserve"> </w:t>
      </w:r>
      <w:r w:rsidRPr="002155B5">
        <w:rPr>
          <w:rFonts w:ascii="Calibri" w:hAnsi="Calibri" w:cs="Calibri"/>
        </w:rPr>
        <w:t xml:space="preserve">« Hawa </w:t>
      </w:r>
      <w:proofErr w:type="spellStart"/>
      <w:r w:rsidRPr="002155B5">
        <w:rPr>
          <w:rFonts w:ascii="Calibri" w:hAnsi="Calibri" w:cs="Calibri"/>
        </w:rPr>
        <w:t>Concepta</w:t>
      </w:r>
      <w:proofErr w:type="spellEnd"/>
      <w:r w:rsidRPr="002155B5">
        <w:rPr>
          <w:rFonts w:ascii="Calibri" w:hAnsi="Calibri" w:cs="Calibri"/>
        </w:rPr>
        <w:t xml:space="preserve"> III</w:t>
      </w:r>
      <w:r w:rsidR="002155B5">
        <w:rPr>
          <w:rFonts w:ascii="Calibri" w:hAnsi="Calibri" w:cs="Calibri"/>
        </w:rPr>
        <w:t xml:space="preserve"> </w:t>
      </w:r>
      <w:r w:rsidR="002155B5" w:rsidRPr="002155B5">
        <w:rPr>
          <w:rFonts w:ascii="Calibri" w:hAnsi="Calibri" w:cs="Calibri"/>
        </w:rPr>
        <w:t>»</w:t>
      </w:r>
      <w:r w:rsidRPr="002155B5">
        <w:rPr>
          <w:rFonts w:ascii="Calibri" w:hAnsi="Calibri" w:cs="Calibri"/>
        </w:rPr>
        <w:t xml:space="preserve">. </w:t>
      </w:r>
    </w:p>
    <w:p w14:paraId="652F8229" w14:textId="77777777" w:rsidR="002155B5" w:rsidRPr="002155B5" w:rsidRDefault="002155B5" w:rsidP="002155B5">
      <w:pPr>
        <w:spacing w:line="274" w:lineRule="auto"/>
        <w:ind w:right="-567"/>
        <w:rPr>
          <w:rFonts w:ascii="Calibri" w:hAnsi="Calibri" w:cs="Calibri"/>
        </w:rPr>
      </w:pPr>
    </w:p>
    <w:p w14:paraId="3EF25F72" w14:textId="77777777" w:rsidR="00A42AE2" w:rsidRPr="002155B5" w:rsidRDefault="00A42AE2" w:rsidP="002155B5">
      <w:pPr>
        <w:spacing w:line="274" w:lineRule="auto"/>
        <w:ind w:right="-567"/>
        <w:rPr>
          <w:rFonts w:ascii="Calibri" w:hAnsi="Calibri" w:cs="Calibri"/>
        </w:rPr>
      </w:pPr>
    </w:p>
    <w:p w14:paraId="11A6444E" w14:textId="3131C57B" w:rsidR="0045385F" w:rsidRPr="002155B5" w:rsidRDefault="005F2BA8" w:rsidP="002155B5">
      <w:pPr>
        <w:spacing w:line="274" w:lineRule="auto"/>
        <w:ind w:right="-567"/>
        <w:rPr>
          <w:rFonts w:ascii="Calibri" w:hAnsi="Calibri" w:cs="Calibri"/>
          <w:b/>
          <w:bCs/>
        </w:rPr>
      </w:pPr>
      <w:r w:rsidRPr="002155B5">
        <w:rPr>
          <w:rFonts w:ascii="Calibri" w:hAnsi="Calibri" w:cs="Calibri"/>
          <w:b/>
        </w:rPr>
        <w:lastRenderedPageBreak/>
        <w:t>Commande intuitive et émotionnelle</w:t>
      </w:r>
    </w:p>
    <w:p w14:paraId="2DC93F89" w14:textId="77777777" w:rsidR="00C34483" w:rsidRPr="002155B5" w:rsidRDefault="00C34483" w:rsidP="002155B5">
      <w:pPr>
        <w:spacing w:line="274" w:lineRule="auto"/>
        <w:ind w:right="-567"/>
        <w:rPr>
          <w:rFonts w:ascii="Calibri" w:hAnsi="Calibri" w:cs="Calibri"/>
        </w:rPr>
      </w:pPr>
    </w:p>
    <w:p w14:paraId="47C482DE" w14:textId="75EB1375" w:rsidR="00C34483" w:rsidRPr="002155B5" w:rsidRDefault="00E50AAD" w:rsidP="002155B5">
      <w:pPr>
        <w:spacing w:line="274" w:lineRule="auto"/>
        <w:ind w:right="-567"/>
        <w:rPr>
          <w:rFonts w:ascii="Calibri" w:hAnsi="Calibri" w:cs="Calibri"/>
        </w:rPr>
      </w:pPr>
      <w:r w:rsidRPr="002155B5">
        <w:rPr>
          <w:rFonts w:ascii="Calibri" w:hAnsi="Calibri" w:cs="Calibri"/>
        </w:rPr>
        <w:t xml:space="preserve">Pas plus tard que cette année, Hawa a reçu la plus haute distinction lors du </w:t>
      </w:r>
      <w:proofErr w:type="spellStart"/>
      <w:r w:rsidRPr="002155B5">
        <w:rPr>
          <w:rFonts w:ascii="Calibri" w:hAnsi="Calibri" w:cs="Calibri"/>
        </w:rPr>
        <w:t>Kitchen</w:t>
      </w:r>
      <w:proofErr w:type="spellEnd"/>
      <w:r w:rsidRPr="002155B5">
        <w:rPr>
          <w:rFonts w:ascii="Calibri" w:hAnsi="Calibri" w:cs="Calibri"/>
        </w:rPr>
        <w:t xml:space="preserve"> Innovation </w:t>
      </w:r>
      <w:proofErr w:type="spellStart"/>
      <w:r w:rsidRPr="002155B5">
        <w:rPr>
          <w:rFonts w:ascii="Calibri" w:hAnsi="Calibri" w:cs="Calibri"/>
        </w:rPr>
        <w:t>Award</w:t>
      </w:r>
      <w:proofErr w:type="spellEnd"/>
      <w:r w:rsidRPr="002155B5">
        <w:rPr>
          <w:rFonts w:ascii="Calibri" w:hAnsi="Calibri" w:cs="Calibri"/>
        </w:rPr>
        <w:t xml:space="preserve"> pour son système de ferrures. La famille de produits « Hawa </w:t>
      </w:r>
      <w:proofErr w:type="spellStart"/>
      <w:r w:rsidRPr="002155B5">
        <w:rPr>
          <w:rFonts w:ascii="Calibri" w:hAnsi="Calibri" w:cs="Calibri"/>
        </w:rPr>
        <w:t>Concepta</w:t>
      </w:r>
      <w:proofErr w:type="spellEnd"/>
      <w:r w:rsidRPr="002155B5">
        <w:rPr>
          <w:rFonts w:ascii="Calibri" w:hAnsi="Calibri" w:cs="Calibri"/>
        </w:rPr>
        <w:t xml:space="preserve"> III » a séduit le jury d’experts ainsi que les consommateurs allemands lors de l’enquête qui s’en est suivie par sa fonctionnalité, son confort d’utilisation, son degré d’innovation, son utilité de produit et son design.  </w:t>
      </w:r>
    </w:p>
    <w:p w14:paraId="2FEDA42F" w14:textId="77777777" w:rsidR="000A6447" w:rsidRPr="002155B5" w:rsidRDefault="000A6447" w:rsidP="002155B5">
      <w:pPr>
        <w:spacing w:line="274" w:lineRule="auto"/>
        <w:ind w:right="-567"/>
        <w:rPr>
          <w:rFonts w:ascii="Calibri" w:hAnsi="Calibri" w:cs="Calibri"/>
        </w:rPr>
      </w:pPr>
    </w:p>
    <w:p w14:paraId="0A5C7061" w14:textId="25BEE97C" w:rsidR="00277D50" w:rsidRPr="002155B5" w:rsidRDefault="000A6447" w:rsidP="002155B5">
      <w:pPr>
        <w:spacing w:line="274" w:lineRule="auto"/>
        <w:ind w:right="-567"/>
        <w:rPr>
          <w:rFonts w:ascii="Calibri" w:hAnsi="Calibri" w:cs="Calibri"/>
        </w:rPr>
      </w:pPr>
      <w:r w:rsidRPr="002155B5">
        <w:rPr>
          <w:rFonts w:ascii="Calibri" w:hAnsi="Calibri" w:cs="Calibri"/>
        </w:rPr>
        <w:t xml:space="preserve">Non seulement les menuisiers et les ébénistes en profitent, mais aussi leurs clients. Grâce à « Hawa </w:t>
      </w:r>
      <w:proofErr w:type="spellStart"/>
      <w:r w:rsidRPr="002155B5">
        <w:rPr>
          <w:rFonts w:ascii="Calibri" w:hAnsi="Calibri" w:cs="Calibri"/>
        </w:rPr>
        <w:t>Concepta</w:t>
      </w:r>
      <w:proofErr w:type="spellEnd"/>
      <w:r w:rsidRPr="002155B5">
        <w:rPr>
          <w:rFonts w:ascii="Calibri" w:hAnsi="Calibri" w:cs="Calibri"/>
        </w:rPr>
        <w:t xml:space="preserve"> III », l’ouverture et la fermeture se font ainsi sans effort via quelques points de contact. « Chacun le fera convenablement dès le début », déclare avec assurance Matthias </w:t>
      </w:r>
      <w:proofErr w:type="spellStart"/>
      <w:r w:rsidRPr="002155B5">
        <w:rPr>
          <w:rFonts w:ascii="Calibri" w:hAnsi="Calibri" w:cs="Calibri"/>
        </w:rPr>
        <w:t>Rothbrust</w:t>
      </w:r>
      <w:proofErr w:type="spellEnd"/>
      <w:r w:rsidRPr="002155B5">
        <w:rPr>
          <w:rFonts w:ascii="Calibri" w:hAnsi="Calibri" w:cs="Calibri"/>
        </w:rPr>
        <w:t xml:space="preserve"> de l’équipe d'innovation « Hawa </w:t>
      </w:r>
      <w:proofErr w:type="spellStart"/>
      <w:r w:rsidRPr="002155B5">
        <w:rPr>
          <w:rFonts w:ascii="Calibri" w:hAnsi="Calibri" w:cs="Calibri"/>
        </w:rPr>
        <w:t>Concepta</w:t>
      </w:r>
      <w:proofErr w:type="spellEnd"/>
      <w:r w:rsidRPr="002155B5">
        <w:rPr>
          <w:rFonts w:ascii="Calibri" w:hAnsi="Calibri" w:cs="Calibri"/>
        </w:rPr>
        <w:t xml:space="preserve"> ». En effet, la ferrure anticipe et définit le déplacement. Un soutien au mouvement ergonomique veille à un déplacement régulier et souple. Des aimants guident les portes sans jeu dans le galandage. Grâce à la fermeture automatique et à l’amortisseur intégré, la commande devient un moment d’émotion et crée un mouvement doux et silencieux. </w:t>
      </w:r>
    </w:p>
    <w:p w14:paraId="43B8F704" w14:textId="77777777" w:rsidR="005C74C6" w:rsidRDefault="005C74C6" w:rsidP="00885C9C">
      <w:pPr>
        <w:ind w:right="-569"/>
        <w:rPr>
          <w:rFonts w:ascii="Calibri" w:hAnsi="Calibri" w:cs="Calibri"/>
        </w:rPr>
      </w:pPr>
    </w:p>
    <w:p w14:paraId="726C6B3C" w14:textId="1839BD47" w:rsidR="002155B5" w:rsidRPr="002155B5" w:rsidRDefault="002155B5" w:rsidP="002155B5">
      <w:pPr>
        <w:ind w:right="-567"/>
        <w:rPr>
          <w:rFonts w:ascii="Calibri" w:hAnsi="Calibri" w:cs="Calibri"/>
          <w:sz w:val="20"/>
          <w:szCs w:val="20"/>
        </w:rPr>
      </w:pPr>
      <w:r w:rsidRPr="002155B5">
        <w:rPr>
          <w:rFonts w:ascii="Calibri" w:hAnsi="Calibri" w:cs="Calibri"/>
          <w:sz w:val="20"/>
        </w:rPr>
        <w:t xml:space="preserve">* K&amp;A Brand </w:t>
      </w:r>
      <w:proofErr w:type="spellStart"/>
      <w:r w:rsidRPr="002155B5">
        <w:rPr>
          <w:rFonts w:ascii="Calibri" w:hAnsi="Calibri" w:cs="Calibri"/>
          <w:sz w:val="20"/>
        </w:rPr>
        <w:t>Research</w:t>
      </w:r>
      <w:proofErr w:type="spellEnd"/>
      <w:r w:rsidRPr="002155B5">
        <w:rPr>
          <w:rFonts w:ascii="Calibri" w:hAnsi="Calibri" w:cs="Calibri"/>
          <w:sz w:val="20"/>
        </w:rPr>
        <w:t xml:space="preserve">, </w:t>
      </w:r>
      <w:proofErr w:type="spellStart"/>
      <w:r w:rsidRPr="002155B5">
        <w:rPr>
          <w:rFonts w:ascii="Calibri" w:hAnsi="Calibri" w:cs="Calibri"/>
          <w:sz w:val="20"/>
        </w:rPr>
        <w:t>Röthenbach</w:t>
      </w:r>
      <w:proofErr w:type="spellEnd"/>
      <w:r>
        <w:rPr>
          <w:rFonts w:ascii="Calibri" w:hAnsi="Calibri" w:cs="Calibri"/>
          <w:sz w:val="20"/>
        </w:rPr>
        <w:t>/Allemagne</w:t>
      </w:r>
      <w:r w:rsidRPr="002155B5">
        <w:rPr>
          <w:rFonts w:ascii="Calibri" w:hAnsi="Calibri" w:cs="Calibri"/>
          <w:sz w:val="20"/>
        </w:rPr>
        <w:t xml:space="preserve">, accompagne depuis plus de 35 ans les marques avec des études de marché psychologiques afin de garantir leur succès dans les environnements pertinents. </w:t>
      </w:r>
      <w:proofErr w:type="spellStart"/>
      <w:r w:rsidRPr="002155B5">
        <w:rPr>
          <w:rFonts w:ascii="Calibri" w:hAnsi="Calibri" w:cs="Calibri"/>
          <w:sz w:val="20"/>
        </w:rPr>
        <w:t>LifeCare.Network</w:t>
      </w:r>
      <w:proofErr w:type="spellEnd"/>
      <w:r w:rsidRPr="002155B5">
        <w:rPr>
          <w:rFonts w:ascii="Calibri" w:hAnsi="Calibri" w:cs="Calibri"/>
          <w:sz w:val="20"/>
        </w:rPr>
        <w:t xml:space="preserve">, l’institution qui décerne chaque année le </w:t>
      </w:r>
      <w:proofErr w:type="spellStart"/>
      <w:r w:rsidRPr="002155B5">
        <w:rPr>
          <w:rFonts w:ascii="Calibri" w:hAnsi="Calibri" w:cs="Calibri"/>
          <w:i/>
          <w:iCs/>
          <w:sz w:val="20"/>
        </w:rPr>
        <w:t>Kitchen</w:t>
      </w:r>
      <w:proofErr w:type="spellEnd"/>
      <w:r w:rsidRPr="002155B5">
        <w:rPr>
          <w:rFonts w:ascii="Calibri" w:hAnsi="Calibri" w:cs="Calibri"/>
          <w:i/>
          <w:iCs/>
          <w:sz w:val="20"/>
        </w:rPr>
        <w:t xml:space="preserve"> Innovation </w:t>
      </w:r>
      <w:proofErr w:type="spellStart"/>
      <w:r w:rsidRPr="002155B5">
        <w:rPr>
          <w:rFonts w:ascii="Calibri" w:hAnsi="Calibri" w:cs="Calibri"/>
          <w:i/>
          <w:iCs/>
          <w:sz w:val="20"/>
        </w:rPr>
        <w:t>Award</w:t>
      </w:r>
      <w:proofErr w:type="spellEnd"/>
      <w:r w:rsidRPr="002155B5">
        <w:rPr>
          <w:rFonts w:ascii="Calibri" w:hAnsi="Calibri" w:cs="Calibri"/>
          <w:sz w:val="20"/>
        </w:rPr>
        <w:t>, un prix de consommateurs reconnu dans le monde entier, mandate régulièrement l’institut d'études de marché pour réaliser une étude annuelle des tendances.</w:t>
      </w:r>
    </w:p>
    <w:p w14:paraId="774A24A3" w14:textId="77777777" w:rsidR="002155B5" w:rsidRPr="002155B5" w:rsidRDefault="002155B5" w:rsidP="002155B5">
      <w:pPr>
        <w:ind w:right="-567"/>
        <w:rPr>
          <w:rFonts w:ascii="Calibri" w:hAnsi="Calibri" w:cs="Calibri"/>
        </w:rPr>
      </w:pPr>
    </w:p>
    <w:p w14:paraId="3FFC23E5" w14:textId="77777777" w:rsidR="004F5AE5" w:rsidRPr="002155B5" w:rsidRDefault="004F5AE5" w:rsidP="002155B5">
      <w:pPr>
        <w:ind w:right="-567"/>
        <w:rPr>
          <w:rFonts w:ascii="Calibri" w:hAnsi="Calibri" w:cs="Calibri"/>
        </w:rPr>
      </w:pPr>
    </w:p>
    <w:p w14:paraId="7045F490" w14:textId="01D90A24" w:rsidR="005C74C6" w:rsidRPr="002155B5" w:rsidRDefault="004F5AE5" w:rsidP="002155B5">
      <w:pPr>
        <w:ind w:right="-567"/>
        <w:rPr>
          <w:rFonts w:ascii="Calibri" w:hAnsi="Calibri" w:cs="Calibri"/>
        </w:rPr>
      </w:pPr>
      <w:r w:rsidRPr="002155B5">
        <w:rPr>
          <w:rFonts w:ascii="Calibri" w:hAnsi="Calibri" w:cs="Calibri"/>
        </w:rPr>
        <w:t xml:space="preserve">Légende : Avec « Hawa </w:t>
      </w:r>
      <w:proofErr w:type="spellStart"/>
      <w:r w:rsidRPr="002155B5">
        <w:rPr>
          <w:rFonts w:ascii="Calibri" w:hAnsi="Calibri" w:cs="Calibri"/>
        </w:rPr>
        <w:t>Concepta</w:t>
      </w:r>
      <w:proofErr w:type="spellEnd"/>
      <w:r w:rsidRPr="002155B5">
        <w:rPr>
          <w:rFonts w:ascii="Calibri" w:hAnsi="Calibri" w:cs="Calibri"/>
        </w:rPr>
        <w:t xml:space="preserve"> III », des cuisines linéaires entières disparaissent en un tournemain derrière une façade uniforme et affleurante. Ou des fonctions de la cuisine auparavant dissimulée deviennent disponibles en quelques secondes. Les portes ne gênent plus et sont rangées sans encombrement dans un galandage latéral.  Photo : Hawa </w:t>
      </w:r>
      <w:proofErr w:type="spellStart"/>
      <w:r w:rsidRPr="002155B5">
        <w:rPr>
          <w:rFonts w:ascii="Calibri" w:hAnsi="Calibri" w:cs="Calibri"/>
        </w:rPr>
        <w:t>Sliding</w:t>
      </w:r>
      <w:proofErr w:type="spellEnd"/>
      <w:r w:rsidRPr="002155B5">
        <w:rPr>
          <w:rFonts w:ascii="Calibri" w:hAnsi="Calibri" w:cs="Calibri"/>
        </w:rPr>
        <w:t xml:space="preserve"> Solutions AG</w:t>
      </w:r>
    </w:p>
    <w:p w14:paraId="24C986D5" w14:textId="77777777" w:rsidR="00603884" w:rsidRPr="002155B5" w:rsidRDefault="00603884" w:rsidP="00885C9C">
      <w:pPr>
        <w:ind w:right="-569"/>
        <w:rPr>
          <w:rFonts w:ascii="Calibri" w:hAnsi="Calibri" w:cs="Calibri"/>
        </w:rPr>
      </w:pPr>
    </w:p>
    <w:p w14:paraId="3F1332D1" w14:textId="77777777" w:rsidR="00603884" w:rsidRPr="002155B5" w:rsidRDefault="00603884" w:rsidP="00885C9C">
      <w:pPr>
        <w:ind w:right="-569"/>
        <w:rPr>
          <w:rFonts w:ascii="Calibri" w:hAnsi="Calibri" w:cs="Calibri"/>
        </w:rPr>
      </w:pPr>
    </w:p>
    <w:sectPr w:rsidR="00603884" w:rsidRPr="002155B5" w:rsidSect="00253F28">
      <w:headerReference w:type="default" r:id="rId10"/>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D2BD" w14:textId="77777777" w:rsidR="00253F28" w:rsidRDefault="00253F28" w:rsidP="002155B5">
      <w:r>
        <w:separator/>
      </w:r>
    </w:p>
  </w:endnote>
  <w:endnote w:type="continuationSeparator" w:id="0">
    <w:p w14:paraId="717E527A" w14:textId="77777777" w:rsidR="00253F28" w:rsidRDefault="00253F28" w:rsidP="0021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B420" w14:textId="77777777" w:rsidR="00253F28" w:rsidRDefault="00253F28" w:rsidP="002155B5">
      <w:r>
        <w:separator/>
      </w:r>
    </w:p>
  </w:footnote>
  <w:footnote w:type="continuationSeparator" w:id="0">
    <w:p w14:paraId="74DBCAAE" w14:textId="77777777" w:rsidR="00253F28" w:rsidRDefault="00253F28" w:rsidP="0021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78FD" w14:textId="77777777" w:rsidR="002155B5" w:rsidRPr="002155B5" w:rsidRDefault="002155B5" w:rsidP="002155B5">
    <w:pPr>
      <w:pStyle w:val="Kopfzeile"/>
      <w:jc w:val="right"/>
      <w:rPr>
        <w:sz w:val="20"/>
        <w:szCs w:val="20"/>
      </w:rPr>
    </w:pPr>
    <w:proofErr w:type="spellStart"/>
    <w:r w:rsidRPr="002155B5">
      <w:rPr>
        <w:sz w:val="20"/>
        <w:szCs w:val="20"/>
      </w:rPr>
      <w:t>Fensterbau</w:t>
    </w:r>
    <w:proofErr w:type="spellEnd"/>
    <w:r w:rsidRPr="002155B5">
      <w:rPr>
        <w:sz w:val="20"/>
        <w:szCs w:val="20"/>
      </w:rPr>
      <w:t xml:space="preserve"> Frontale, Nuremberg, 19 au 22 mars 2024</w:t>
    </w:r>
  </w:p>
  <w:p w14:paraId="0BBB2F38" w14:textId="5D4A415B" w:rsidR="002155B5" w:rsidRPr="002155B5" w:rsidRDefault="002155B5" w:rsidP="002155B5">
    <w:pPr>
      <w:pStyle w:val="Kopfzeile"/>
      <w:jc w:val="right"/>
      <w:rPr>
        <w:sz w:val="20"/>
        <w:szCs w:val="20"/>
      </w:rPr>
    </w:pPr>
    <w:r w:rsidRPr="002155B5">
      <w:rPr>
        <w:sz w:val="20"/>
        <w:szCs w:val="20"/>
      </w:rPr>
      <w:t>PR no. 10028-0019-03/2024</w:t>
    </w:r>
  </w:p>
  <w:p w14:paraId="270F3610" w14:textId="77777777" w:rsidR="002155B5" w:rsidRPr="002155B5" w:rsidRDefault="002155B5" w:rsidP="002155B5">
    <w:pPr>
      <w:pStyle w:val="Kopfzeile"/>
      <w:jc w:val="right"/>
      <w:rPr>
        <w:sz w:val="20"/>
        <w:szCs w:val="20"/>
      </w:rPr>
    </w:pPr>
    <w:r w:rsidRPr="002155B5">
      <w:rPr>
        <w:sz w:val="20"/>
        <w:szCs w:val="20"/>
      </w:rPr>
      <w:t>Pivoter, replier, escamoter</w:t>
    </w:r>
  </w:p>
  <w:p w14:paraId="61EE4B34" w14:textId="73B4470A" w:rsidR="002155B5" w:rsidRPr="002155B5" w:rsidRDefault="002155B5" w:rsidP="002155B5">
    <w:pPr>
      <w:pStyle w:val="Kopfzeile"/>
      <w:jc w:val="right"/>
      <w:rPr>
        <w:sz w:val="20"/>
        <w:szCs w:val="20"/>
      </w:rPr>
    </w:pPr>
    <w:r w:rsidRPr="002155B5">
      <w:rPr>
        <w:sz w:val="20"/>
        <w:szCs w:val="20"/>
      </w:rPr>
      <w:t>Aménagement flexible de la cuisine en un tournemain</w:t>
    </w:r>
    <w:r>
      <w:rPr>
        <w:sz w:val="20"/>
        <w:szCs w:val="20"/>
      </w:rPr>
      <w:t xml:space="preserve"> – page </w:t>
    </w:r>
    <w:r w:rsidRPr="002155B5">
      <w:rPr>
        <w:sz w:val="20"/>
        <w:szCs w:val="20"/>
      </w:rPr>
      <w:fldChar w:fldCharType="begin"/>
    </w:r>
    <w:r w:rsidRPr="002155B5">
      <w:rPr>
        <w:sz w:val="20"/>
        <w:szCs w:val="20"/>
      </w:rPr>
      <w:instrText>PAGE   \* MERGEFORMAT</w:instrText>
    </w:r>
    <w:r w:rsidRPr="002155B5">
      <w:rPr>
        <w:sz w:val="20"/>
        <w:szCs w:val="20"/>
      </w:rPr>
      <w:fldChar w:fldCharType="separate"/>
    </w:r>
    <w:r w:rsidRPr="002155B5">
      <w:rPr>
        <w:sz w:val="20"/>
        <w:szCs w:val="20"/>
        <w:lang w:val="en-GB"/>
      </w:rPr>
      <w:t>1</w:t>
    </w:r>
    <w:r w:rsidRPr="002155B5">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586E"/>
    <w:multiLevelType w:val="hybridMultilevel"/>
    <w:tmpl w:val="F9CA46CE"/>
    <w:lvl w:ilvl="0" w:tplc="EB8E535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423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12"/>
    <w:rsid w:val="00023991"/>
    <w:rsid w:val="00040882"/>
    <w:rsid w:val="000826D3"/>
    <w:rsid w:val="000A6447"/>
    <w:rsid w:val="000C1287"/>
    <w:rsid w:val="00110B48"/>
    <w:rsid w:val="001328D0"/>
    <w:rsid w:val="00145A92"/>
    <w:rsid w:val="001548B9"/>
    <w:rsid w:val="001E1090"/>
    <w:rsid w:val="002068F4"/>
    <w:rsid w:val="002130BB"/>
    <w:rsid w:val="002131BE"/>
    <w:rsid w:val="002155B5"/>
    <w:rsid w:val="00253F28"/>
    <w:rsid w:val="00277D50"/>
    <w:rsid w:val="00286F87"/>
    <w:rsid w:val="0029571D"/>
    <w:rsid w:val="002A4712"/>
    <w:rsid w:val="002E45C1"/>
    <w:rsid w:val="002F121A"/>
    <w:rsid w:val="002F43C6"/>
    <w:rsid w:val="00331FC0"/>
    <w:rsid w:val="00367066"/>
    <w:rsid w:val="003F06FA"/>
    <w:rsid w:val="00424676"/>
    <w:rsid w:val="0045385F"/>
    <w:rsid w:val="004F3166"/>
    <w:rsid w:val="004F5AE5"/>
    <w:rsid w:val="00533D06"/>
    <w:rsid w:val="00535AF9"/>
    <w:rsid w:val="00561102"/>
    <w:rsid w:val="005C74C6"/>
    <w:rsid w:val="005F2BA8"/>
    <w:rsid w:val="00603884"/>
    <w:rsid w:val="006624BE"/>
    <w:rsid w:val="00681B8B"/>
    <w:rsid w:val="00686B63"/>
    <w:rsid w:val="006E138F"/>
    <w:rsid w:val="00710C57"/>
    <w:rsid w:val="00746850"/>
    <w:rsid w:val="007709C7"/>
    <w:rsid w:val="007867C0"/>
    <w:rsid w:val="007B2628"/>
    <w:rsid w:val="00833E90"/>
    <w:rsid w:val="008647C6"/>
    <w:rsid w:val="00880282"/>
    <w:rsid w:val="00885C9C"/>
    <w:rsid w:val="008D7BFC"/>
    <w:rsid w:val="00921685"/>
    <w:rsid w:val="00981079"/>
    <w:rsid w:val="00A17CFC"/>
    <w:rsid w:val="00A31A58"/>
    <w:rsid w:val="00A42AE2"/>
    <w:rsid w:val="00A51496"/>
    <w:rsid w:val="00A6697E"/>
    <w:rsid w:val="00A92490"/>
    <w:rsid w:val="00AB677C"/>
    <w:rsid w:val="00AC464C"/>
    <w:rsid w:val="00B1673E"/>
    <w:rsid w:val="00B619C2"/>
    <w:rsid w:val="00BB1A6A"/>
    <w:rsid w:val="00BC6611"/>
    <w:rsid w:val="00C34483"/>
    <w:rsid w:val="00D27839"/>
    <w:rsid w:val="00D92FD8"/>
    <w:rsid w:val="00DC0C0F"/>
    <w:rsid w:val="00DD0F27"/>
    <w:rsid w:val="00DD5C31"/>
    <w:rsid w:val="00DE2E3A"/>
    <w:rsid w:val="00E246F7"/>
    <w:rsid w:val="00E47346"/>
    <w:rsid w:val="00E50AAD"/>
    <w:rsid w:val="00E52293"/>
    <w:rsid w:val="00ED40AB"/>
    <w:rsid w:val="00F501F4"/>
    <w:rsid w:val="00F54A5E"/>
    <w:rsid w:val="00F55A15"/>
    <w:rsid w:val="00F6370C"/>
    <w:rsid w:val="00F929B4"/>
    <w:rsid w:val="00FA7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CB5A"/>
  <w15:chartTrackingRefBased/>
  <w15:docId w15:val="{4A1A4E33-577A-44E8-98EA-8DA81B95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47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A47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A471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A471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A471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A471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A471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A471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A471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471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A471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A471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A471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A471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A471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A471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A471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A4712"/>
    <w:rPr>
      <w:rFonts w:eastAsiaTheme="majorEastAsia" w:cstheme="majorBidi"/>
      <w:color w:val="272727" w:themeColor="text1" w:themeTint="D8"/>
    </w:rPr>
  </w:style>
  <w:style w:type="paragraph" w:styleId="Titel">
    <w:name w:val="Title"/>
    <w:basedOn w:val="Standard"/>
    <w:next w:val="Standard"/>
    <w:link w:val="TitelZchn"/>
    <w:uiPriority w:val="10"/>
    <w:qFormat/>
    <w:rsid w:val="002A471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471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A471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A471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A471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2A4712"/>
    <w:rPr>
      <w:i/>
      <w:iCs/>
      <w:color w:val="404040" w:themeColor="text1" w:themeTint="BF"/>
    </w:rPr>
  </w:style>
  <w:style w:type="paragraph" w:styleId="Listenabsatz">
    <w:name w:val="List Paragraph"/>
    <w:basedOn w:val="Standard"/>
    <w:uiPriority w:val="34"/>
    <w:qFormat/>
    <w:rsid w:val="002A4712"/>
    <w:pPr>
      <w:ind w:left="720"/>
      <w:contextualSpacing/>
    </w:pPr>
  </w:style>
  <w:style w:type="character" w:styleId="IntensiveHervorhebung">
    <w:name w:val="Intense Emphasis"/>
    <w:basedOn w:val="Absatz-Standardschriftart"/>
    <w:uiPriority w:val="21"/>
    <w:qFormat/>
    <w:rsid w:val="002A4712"/>
    <w:rPr>
      <w:i/>
      <w:iCs/>
      <w:color w:val="0F4761" w:themeColor="accent1" w:themeShade="BF"/>
    </w:rPr>
  </w:style>
  <w:style w:type="paragraph" w:styleId="IntensivesZitat">
    <w:name w:val="Intense Quote"/>
    <w:basedOn w:val="Standard"/>
    <w:next w:val="Standard"/>
    <w:link w:val="IntensivesZitatZchn"/>
    <w:uiPriority w:val="30"/>
    <w:qFormat/>
    <w:rsid w:val="002A47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A4712"/>
    <w:rPr>
      <w:i/>
      <w:iCs/>
      <w:color w:val="0F4761" w:themeColor="accent1" w:themeShade="BF"/>
    </w:rPr>
  </w:style>
  <w:style w:type="character" w:styleId="IntensiverVerweis">
    <w:name w:val="Intense Reference"/>
    <w:basedOn w:val="Absatz-Standardschriftart"/>
    <w:uiPriority w:val="32"/>
    <w:qFormat/>
    <w:rsid w:val="002A4712"/>
    <w:rPr>
      <w:b/>
      <w:bCs/>
      <w:smallCaps/>
      <w:color w:val="0F4761" w:themeColor="accent1" w:themeShade="BF"/>
      <w:spacing w:val="5"/>
    </w:rPr>
  </w:style>
  <w:style w:type="character" w:styleId="Hyperlink">
    <w:name w:val="Hyperlink"/>
    <w:basedOn w:val="Absatz-Standardschriftart"/>
    <w:uiPriority w:val="99"/>
    <w:unhideWhenUsed/>
    <w:rsid w:val="00A17CFC"/>
    <w:rPr>
      <w:color w:val="467886" w:themeColor="hyperlink"/>
      <w:u w:val="single"/>
    </w:rPr>
  </w:style>
  <w:style w:type="character" w:styleId="NichtaufgelsteErwhnung">
    <w:name w:val="Unresolved Mention"/>
    <w:basedOn w:val="Absatz-Standardschriftart"/>
    <w:uiPriority w:val="99"/>
    <w:semiHidden/>
    <w:unhideWhenUsed/>
    <w:rsid w:val="00A17CFC"/>
    <w:rPr>
      <w:color w:val="605E5C"/>
      <w:shd w:val="clear" w:color="auto" w:fill="E1DFDD"/>
    </w:rPr>
  </w:style>
  <w:style w:type="character" w:styleId="BesuchterLink">
    <w:name w:val="FollowedHyperlink"/>
    <w:basedOn w:val="Absatz-Standardschriftart"/>
    <w:uiPriority w:val="99"/>
    <w:semiHidden/>
    <w:unhideWhenUsed/>
    <w:rsid w:val="00DD5C31"/>
    <w:rPr>
      <w:color w:val="96607D" w:themeColor="followedHyperlink"/>
      <w:u w:val="single"/>
    </w:rPr>
  </w:style>
  <w:style w:type="paragraph" w:styleId="Kopfzeile">
    <w:name w:val="header"/>
    <w:basedOn w:val="Standard"/>
    <w:link w:val="KopfzeileZchn"/>
    <w:uiPriority w:val="99"/>
    <w:unhideWhenUsed/>
    <w:rsid w:val="002155B5"/>
    <w:pPr>
      <w:tabs>
        <w:tab w:val="center" w:pos="4536"/>
        <w:tab w:val="right" w:pos="9072"/>
      </w:tabs>
    </w:pPr>
  </w:style>
  <w:style w:type="character" w:customStyle="1" w:styleId="KopfzeileZchn">
    <w:name w:val="Kopfzeile Zchn"/>
    <w:basedOn w:val="Absatz-Standardschriftart"/>
    <w:link w:val="Kopfzeile"/>
    <w:uiPriority w:val="99"/>
    <w:rsid w:val="002155B5"/>
  </w:style>
  <w:style w:type="paragraph" w:styleId="Fuzeile">
    <w:name w:val="footer"/>
    <w:basedOn w:val="Standard"/>
    <w:link w:val="FuzeileZchn"/>
    <w:uiPriority w:val="99"/>
    <w:unhideWhenUsed/>
    <w:rsid w:val="002155B5"/>
    <w:pPr>
      <w:tabs>
        <w:tab w:val="center" w:pos="4536"/>
        <w:tab w:val="right" w:pos="9072"/>
      </w:tabs>
    </w:pPr>
  </w:style>
  <w:style w:type="character" w:customStyle="1" w:styleId="FuzeileZchn">
    <w:name w:val="Fußzeile Zchn"/>
    <w:basedOn w:val="Absatz-Standardschriftart"/>
    <w:link w:val="Fuzeile"/>
    <w:uiPriority w:val="99"/>
    <w:rsid w:val="0021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8" ma:contentTypeDescription="Ein neues Dokument erstellen." ma:contentTypeScope="" ma:versionID="ab79f89473c6f3184f478b39e7c93562">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3c8bd8bfab80969ff8638b5fa213f22e"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0B081-DC8F-473F-8845-3F37645DA9F8}">
  <ds:schemaRefs>
    <ds:schemaRef ds:uri="http://schemas.openxmlformats.org/officeDocument/2006/bibliography"/>
  </ds:schemaRefs>
</ds:datastoreItem>
</file>

<file path=customXml/itemProps2.xml><?xml version="1.0" encoding="utf-8"?>
<ds:datastoreItem xmlns:ds="http://schemas.openxmlformats.org/officeDocument/2006/customXml" ds:itemID="{FA2644C7-882D-4FC8-BA6C-0C343CB4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EFB35-ED01-4297-AA8D-C959FDBD8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2024-03-16T09:31:00Z</dcterms:created>
  <dcterms:modified xsi:type="dcterms:W3CDTF">2024-03-16T09:31:00Z</dcterms:modified>
</cp:coreProperties>
</file>