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91B4" w14:textId="77777777" w:rsidR="00CB4FEE" w:rsidRDefault="00CB4FEE" w:rsidP="00CB4FEE">
      <w:pPr>
        <w:rPr>
          <w:rFonts w:ascii="Calibri" w:hAnsi="Calibri" w:cs="Calibri"/>
          <w:sz w:val="20"/>
          <w:szCs w:val="20"/>
        </w:rPr>
      </w:pPr>
      <w:r w:rsidRPr="00675160">
        <w:rPr>
          <w:rFonts w:ascii="Calibri" w:hAnsi="Calibri" w:cs="Calibri"/>
          <w:sz w:val="20"/>
          <w:szCs w:val="20"/>
        </w:rPr>
        <w:t>Interzum, 20 - 23 May 2025</w:t>
      </w:r>
    </w:p>
    <w:p w14:paraId="31206BED" w14:textId="28716B87" w:rsidR="00CB4FEE" w:rsidRDefault="00CB4FEE" w:rsidP="00CB4FEE">
      <w:pPr>
        <w:rPr>
          <w:rFonts w:ascii="Calibri" w:hAnsi="Calibri" w:cs="Calibri"/>
          <w:sz w:val="20"/>
          <w:szCs w:val="20"/>
        </w:rPr>
      </w:pPr>
      <w:r w:rsidRPr="00675160">
        <w:rPr>
          <w:rFonts w:ascii="Calibri" w:hAnsi="Calibri" w:cs="Calibri"/>
          <w:sz w:val="20"/>
          <w:szCs w:val="20"/>
        </w:rPr>
        <w:t xml:space="preserve">PR-No. </w:t>
      </w:r>
      <w:r w:rsidRPr="004D4A4F">
        <w:rPr>
          <w:rFonts w:ascii="Calibri" w:hAnsi="Calibri" w:cs="Calibri"/>
          <w:sz w:val="20"/>
          <w:szCs w:val="20"/>
        </w:rPr>
        <w:t>100</w:t>
      </w:r>
      <w:r>
        <w:rPr>
          <w:rFonts w:ascii="Calibri" w:hAnsi="Calibri" w:cs="Calibri"/>
          <w:sz w:val="20"/>
          <w:szCs w:val="20"/>
        </w:rPr>
        <w:t>28</w:t>
      </w:r>
      <w:r w:rsidRPr="004D4A4F">
        <w:rPr>
          <w:rFonts w:ascii="Calibri" w:hAnsi="Calibri" w:cs="Calibri"/>
          <w:sz w:val="20"/>
          <w:szCs w:val="20"/>
        </w:rPr>
        <w:t>-00</w:t>
      </w:r>
      <w:r>
        <w:rPr>
          <w:rFonts w:ascii="Calibri" w:hAnsi="Calibri" w:cs="Calibri"/>
          <w:sz w:val="20"/>
          <w:szCs w:val="20"/>
        </w:rPr>
        <w:t>29</w:t>
      </w:r>
      <w:r w:rsidRPr="004D4A4F">
        <w:rPr>
          <w:rFonts w:ascii="Calibri" w:hAnsi="Calibri" w:cs="Calibri"/>
          <w:sz w:val="20"/>
          <w:szCs w:val="20"/>
        </w:rPr>
        <w:t>-05/2025</w:t>
      </w:r>
    </w:p>
    <w:p w14:paraId="7D7FB1D3" w14:textId="77777777" w:rsidR="00CB4FEE" w:rsidRPr="004D4A4F" w:rsidRDefault="00CB4FEE" w:rsidP="00CB4FEE">
      <w:pPr>
        <w:rPr>
          <w:rFonts w:ascii="Calibri" w:hAnsi="Calibri" w:cs="Calibri"/>
          <w:sz w:val="20"/>
          <w:szCs w:val="20"/>
        </w:rPr>
      </w:pPr>
    </w:p>
    <w:p w14:paraId="3C82B99D" w14:textId="5C19770F" w:rsidR="007B2628" w:rsidRDefault="008B2A66">
      <w:pPr>
        <w:rPr>
          <w:rFonts w:ascii="Calibri" w:hAnsi="Calibri"/>
          <w:b/>
          <w:sz w:val="28"/>
          <w:lang w:val="en-US"/>
        </w:rPr>
      </w:pPr>
      <w:r w:rsidRPr="007C305E">
        <w:rPr>
          <w:rFonts w:ascii="Calibri" w:hAnsi="Calibri"/>
          <w:b/>
          <w:sz w:val="28"/>
          <w:lang w:val="en-US"/>
        </w:rPr>
        <w:t>Multi-talented pivot and folding/slide-in hardware</w:t>
      </w:r>
    </w:p>
    <w:p w14:paraId="7EC55658" w14:textId="77777777" w:rsidR="00CB4FEE" w:rsidRPr="007C305E" w:rsidRDefault="00CB4FEE">
      <w:pPr>
        <w:rPr>
          <w:rFonts w:ascii="Calibri" w:hAnsi="Calibri" w:cs="Calibri"/>
          <w:b/>
          <w:bCs/>
          <w:sz w:val="28"/>
          <w:szCs w:val="28"/>
          <w:lang w:val="en-US"/>
        </w:rPr>
      </w:pPr>
    </w:p>
    <w:p w14:paraId="6581206C" w14:textId="69A5B485" w:rsidR="008B2A66" w:rsidRDefault="008B2A66" w:rsidP="007D26F3">
      <w:pPr>
        <w:ind w:right="-285"/>
        <w:rPr>
          <w:rFonts w:ascii="Calibri" w:hAnsi="Calibri"/>
          <w:b/>
          <w:lang w:val="en-US"/>
        </w:rPr>
      </w:pPr>
      <w:r w:rsidRPr="007C305E">
        <w:rPr>
          <w:rFonts w:ascii="Calibri" w:hAnsi="Calibri"/>
          <w:b/>
          <w:lang w:val="en-US"/>
        </w:rPr>
        <w:t>Hawa demonstrated the installation of the “Concepta III” family</w:t>
      </w:r>
    </w:p>
    <w:p w14:paraId="3BC06D50" w14:textId="77777777" w:rsidR="00CB4FEE" w:rsidRPr="007C305E" w:rsidRDefault="00CB4FEE" w:rsidP="007D26F3">
      <w:pPr>
        <w:ind w:right="-285"/>
        <w:rPr>
          <w:rFonts w:ascii="Calibri" w:hAnsi="Calibri" w:cs="Calibri"/>
          <w:b/>
          <w:bCs/>
          <w:lang w:val="en-US"/>
        </w:rPr>
      </w:pPr>
    </w:p>
    <w:p w14:paraId="2A06BAFE" w14:textId="77777777" w:rsidR="00466D7C" w:rsidRPr="007C305E" w:rsidRDefault="00466D7C" w:rsidP="00466D7C">
      <w:pPr>
        <w:rPr>
          <w:rFonts w:ascii="Calibri" w:hAnsi="Calibri" w:cs="Calibri"/>
          <w:b/>
          <w:bCs/>
          <w:lang w:val="en-US"/>
        </w:rPr>
      </w:pPr>
    </w:p>
    <w:p w14:paraId="4FD7E574" w14:textId="69E274A3" w:rsidR="00BA28A1" w:rsidRPr="007C305E" w:rsidRDefault="00BA28A1" w:rsidP="00CB4FEE">
      <w:pPr>
        <w:spacing w:line="274" w:lineRule="auto"/>
        <w:rPr>
          <w:rFonts w:ascii="Calibri" w:hAnsi="Calibri" w:cs="Calibri"/>
          <w:b/>
          <w:bCs/>
          <w:lang w:val="en-US"/>
        </w:rPr>
      </w:pPr>
      <w:r w:rsidRPr="007C305E">
        <w:rPr>
          <w:rFonts w:ascii="Calibri" w:hAnsi="Calibri"/>
          <w:b/>
          <w:lang w:val="en-US"/>
        </w:rPr>
        <w:t>Single door furniture fronts, two-door furniture fronts and furniture fronts with even more doors, regardless of the height and width, with and without a separating wall, floor-to-ceiling and walk-in or for the composed cabinet, as a handle-less Push-to-open solution or for operating with a handle, inlaid or overlaid. “Hawa Concepta III” and “Hawa Folding Concepta III” are both versatile and customizable. At Interzum 2025 the focus is on the planning and installation of the latest generation of pivot and folding/slide-in hardware.</w:t>
      </w:r>
    </w:p>
    <w:p w14:paraId="61868AB9" w14:textId="77777777" w:rsidR="00BA28A1" w:rsidRPr="007C305E" w:rsidRDefault="00BA28A1" w:rsidP="00CB4FEE">
      <w:pPr>
        <w:spacing w:line="274" w:lineRule="auto"/>
        <w:rPr>
          <w:rFonts w:ascii="Calibri" w:hAnsi="Calibri" w:cs="Calibri"/>
          <w:b/>
          <w:bCs/>
          <w:lang w:val="en-US"/>
        </w:rPr>
      </w:pPr>
    </w:p>
    <w:p w14:paraId="09E8BA71" w14:textId="6801BEC8" w:rsidR="00CF32AE" w:rsidRPr="007C305E" w:rsidRDefault="00466D7C" w:rsidP="00CB4FEE">
      <w:pPr>
        <w:spacing w:line="274" w:lineRule="auto"/>
        <w:rPr>
          <w:rFonts w:ascii="Calibri" w:hAnsi="Calibri" w:cs="Calibri"/>
          <w:lang w:val="en-US"/>
        </w:rPr>
      </w:pPr>
      <w:r w:rsidRPr="007C305E">
        <w:rPr>
          <w:rFonts w:ascii="Calibri" w:hAnsi="Calibri"/>
          <w:lang w:val="en-US"/>
        </w:rPr>
        <w:t>Convertible furniture fronts are all the rage. Hawa has developed the “Hawa Concepta III” hardware family in order to implement them. It is based on a well though-out movement sequence: Pivoting, folding, sliding in at the side and disappearing in a space-saving way for free access. A gentle tap suffices to move the doors out, which can then be closed intuitively to form a large furniture front.</w:t>
      </w:r>
    </w:p>
    <w:p w14:paraId="3BF6D9F4" w14:textId="77777777" w:rsidR="00CF32AE" w:rsidRPr="007C305E" w:rsidRDefault="00CF32AE" w:rsidP="00CB4FEE">
      <w:pPr>
        <w:spacing w:line="274" w:lineRule="auto"/>
        <w:rPr>
          <w:rFonts w:ascii="Calibri" w:hAnsi="Calibri" w:cs="Calibri"/>
          <w:lang w:val="en-US"/>
        </w:rPr>
      </w:pPr>
    </w:p>
    <w:p w14:paraId="46CF62C0" w14:textId="41D6FE47" w:rsidR="00466D7C" w:rsidRPr="007C305E" w:rsidRDefault="00176966" w:rsidP="00CB4FEE">
      <w:pPr>
        <w:spacing w:line="274" w:lineRule="auto"/>
        <w:rPr>
          <w:rFonts w:ascii="Calibri" w:hAnsi="Calibri" w:cs="Calibri"/>
          <w:lang w:val="en-US"/>
        </w:rPr>
      </w:pPr>
      <w:r w:rsidRPr="007C305E">
        <w:rPr>
          <w:rFonts w:ascii="Calibri" w:hAnsi="Calibri"/>
          <w:lang w:val="en-US"/>
        </w:rPr>
        <w:t>An entire world for the variant-rich design of kitchens, dressing rooms, utility rooms and home offices opens up on the basis of the two “Hawa Concepta III” and “Hawa Folding Concepta III” hardware systems.</w:t>
      </w:r>
    </w:p>
    <w:p w14:paraId="1D0C4940" w14:textId="77777777" w:rsidR="00466D7C" w:rsidRPr="007C305E" w:rsidRDefault="00466D7C" w:rsidP="00CB4FEE">
      <w:pPr>
        <w:spacing w:line="274" w:lineRule="auto"/>
        <w:rPr>
          <w:rFonts w:ascii="Calibri" w:hAnsi="Calibri" w:cs="Calibri"/>
          <w:lang w:val="en-US"/>
        </w:rPr>
      </w:pPr>
    </w:p>
    <w:p w14:paraId="5AF4F4D4" w14:textId="1FF00C21" w:rsidR="006F7134" w:rsidRPr="007C305E" w:rsidRDefault="006F7134" w:rsidP="00CB4FEE">
      <w:pPr>
        <w:spacing w:line="274" w:lineRule="auto"/>
        <w:rPr>
          <w:rFonts w:ascii="Calibri" w:hAnsi="Calibri" w:cs="Calibri"/>
          <w:b/>
          <w:bCs/>
          <w:lang w:val="en-US"/>
        </w:rPr>
      </w:pPr>
      <w:r w:rsidRPr="007C305E">
        <w:rPr>
          <w:rFonts w:ascii="Calibri" w:hAnsi="Calibri"/>
          <w:b/>
          <w:lang w:val="en-US"/>
        </w:rPr>
        <w:t>Planning with the Hawa Configurator</w:t>
      </w:r>
    </w:p>
    <w:p w14:paraId="6BACF66E" w14:textId="77777777" w:rsidR="006F7134" w:rsidRPr="007C305E" w:rsidRDefault="006F7134" w:rsidP="00CB4FEE">
      <w:pPr>
        <w:spacing w:line="274" w:lineRule="auto"/>
        <w:rPr>
          <w:rFonts w:ascii="Calibri" w:hAnsi="Calibri" w:cs="Calibri"/>
          <w:lang w:val="en-US"/>
        </w:rPr>
      </w:pPr>
    </w:p>
    <w:p w14:paraId="19EA5D2D" w14:textId="0F68FD0A" w:rsidR="00BA28A1" w:rsidRPr="007C305E" w:rsidRDefault="00CF32AE" w:rsidP="00CB4FEE">
      <w:pPr>
        <w:spacing w:line="274" w:lineRule="auto"/>
        <w:rPr>
          <w:rFonts w:ascii="Calibri" w:hAnsi="Calibri" w:cs="Calibri"/>
          <w:lang w:val="en-US"/>
        </w:rPr>
      </w:pPr>
      <w:r w:rsidRPr="007C305E">
        <w:rPr>
          <w:rFonts w:ascii="Calibri" w:hAnsi="Calibri"/>
          <w:lang w:val="en-US"/>
        </w:rPr>
        <w:t>Pivot and folding/slide-in fronts can be planned in just a few minutes using the Hawa Configurator. This leads to the individually required solution step by step. At the end, the digital assistant provides you with the correct hardware, including pre-cut dimensions, 2D construction drawings, 3D Step data and a parts list.</w:t>
      </w:r>
    </w:p>
    <w:p w14:paraId="1D17B295" w14:textId="77777777" w:rsidR="00466D7C" w:rsidRPr="007C305E" w:rsidRDefault="00466D7C" w:rsidP="00CB4FEE">
      <w:pPr>
        <w:spacing w:line="274" w:lineRule="auto"/>
        <w:rPr>
          <w:rFonts w:ascii="Calibri" w:hAnsi="Calibri" w:cs="Calibri"/>
          <w:lang w:val="en-US"/>
        </w:rPr>
      </w:pPr>
    </w:p>
    <w:p w14:paraId="750A706F" w14:textId="6B7E4754" w:rsidR="00466D7C" w:rsidRPr="007C305E" w:rsidRDefault="00466D7C" w:rsidP="00CB4FEE">
      <w:pPr>
        <w:spacing w:line="274" w:lineRule="auto"/>
        <w:rPr>
          <w:rFonts w:ascii="Calibri" w:hAnsi="Calibri" w:cs="Calibri"/>
          <w:lang w:val="en-US"/>
        </w:rPr>
      </w:pPr>
      <w:r w:rsidRPr="007C305E">
        <w:rPr>
          <w:rFonts w:ascii="Calibri" w:hAnsi="Calibri"/>
          <w:lang w:val="en-US"/>
        </w:rPr>
        <w:lastRenderedPageBreak/>
        <w:t xml:space="preserve">Fabricators may be interested in how quickly and intuitively the three components and 15 screws can be installed, and how adjustment is made easier by the logically positioned and easily accessible adjustment points. The hardware in the “Hawa Concepta III” family is pre-assembled to a considerable extent. </w:t>
      </w:r>
    </w:p>
    <w:p w14:paraId="02247440" w14:textId="77777777" w:rsidR="00425842" w:rsidRPr="007C305E" w:rsidRDefault="00425842" w:rsidP="00CB4FEE">
      <w:pPr>
        <w:spacing w:line="274" w:lineRule="auto"/>
        <w:rPr>
          <w:rFonts w:ascii="Calibri" w:hAnsi="Calibri" w:cs="Calibri"/>
          <w:lang w:val="en-US"/>
        </w:rPr>
      </w:pPr>
    </w:p>
    <w:p w14:paraId="680D29E3" w14:textId="77777777" w:rsidR="00425842" w:rsidRPr="007C305E" w:rsidRDefault="00425842" w:rsidP="00CB4FEE">
      <w:pPr>
        <w:spacing w:line="274" w:lineRule="auto"/>
        <w:rPr>
          <w:rFonts w:ascii="Calibri" w:hAnsi="Calibri" w:cs="Calibri"/>
          <w:lang w:val="en-US"/>
        </w:rPr>
      </w:pPr>
    </w:p>
    <w:p w14:paraId="71D84B8E" w14:textId="73105AA9" w:rsidR="00425842" w:rsidRPr="007C305E" w:rsidRDefault="00425842" w:rsidP="00466D7C">
      <w:pPr>
        <w:rPr>
          <w:rFonts w:ascii="Calibri" w:hAnsi="Calibri" w:cs="Calibri"/>
          <w:lang w:val="en-US"/>
        </w:rPr>
      </w:pPr>
      <w:r w:rsidRPr="007C305E">
        <w:rPr>
          <w:rFonts w:ascii="Calibri" w:hAnsi="Calibri"/>
          <w:lang w:val="en-US"/>
        </w:rPr>
        <w:t>Caption: A look behind the scenes of the “Hawa Concepta III” hardware family reveals: Even complex movement sequences can be reduced to the essential for intuitive installation. When doing so, the systems for pivoting, folding and sliding in at the side remain flexible for use in a wide variety of furniture fronts. Planning assistance is available from a configurator. Photo: Hawa Sliding Solutions AG</w:t>
      </w:r>
    </w:p>
    <w:p w14:paraId="245B1FC3" w14:textId="77777777" w:rsidR="00FB3F15" w:rsidRPr="007C305E" w:rsidRDefault="00FB3F15" w:rsidP="00466D7C">
      <w:pPr>
        <w:rPr>
          <w:rFonts w:ascii="Calibri" w:hAnsi="Calibri" w:cs="Calibri"/>
          <w:lang w:val="en-US"/>
        </w:rPr>
      </w:pPr>
    </w:p>
    <w:p w14:paraId="293C54E3" w14:textId="77777777" w:rsidR="00FB3F15" w:rsidRPr="007C305E" w:rsidRDefault="00FB3F15" w:rsidP="00466D7C">
      <w:pPr>
        <w:rPr>
          <w:rFonts w:ascii="Calibri" w:hAnsi="Calibri" w:cs="Calibri"/>
          <w:lang w:val="en-US"/>
        </w:rPr>
      </w:pPr>
    </w:p>
    <w:p w14:paraId="034A807B" w14:textId="7DF23B84" w:rsidR="00FB3F15" w:rsidRPr="007C305E" w:rsidRDefault="00FB3F15" w:rsidP="00FB3F15">
      <w:pPr>
        <w:rPr>
          <w:rFonts w:ascii="Calibri" w:hAnsi="Calibri" w:cs="Calibri"/>
          <w:lang w:val="en-US"/>
        </w:rPr>
      </w:pPr>
    </w:p>
    <w:sectPr w:rsidR="00FB3F15" w:rsidRPr="007C305E" w:rsidSect="00DD0F27">
      <w:headerReference w:type="default" r:id="rId9"/>
      <w:pgSz w:w="11906" w:h="16838" w:code="9"/>
      <w:pgMar w:top="2835" w:right="3402"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264E6" w14:textId="77777777" w:rsidR="00A26F95" w:rsidRDefault="00A26F95" w:rsidP="00CB4FEE">
      <w:r>
        <w:separator/>
      </w:r>
    </w:p>
  </w:endnote>
  <w:endnote w:type="continuationSeparator" w:id="0">
    <w:p w14:paraId="6E2ACA4B" w14:textId="77777777" w:rsidR="00A26F95" w:rsidRDefault="00A26F95" w:rsidP="00CB4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AEEDF" w14:textId="77777777" w:rsidR="00A26F95" w:rsidRDefault="00A26F95" w:rsidP="00CB4FEE">
      <w:r>
        <w:separator/>
      </w:r>
    </w:p>
  </w:footnote>
  <w:footnote w:type="continuationSeparator" w:id="0">
    <w:p w14:paraId="6B39E062" w14:textId="77777777" w:rsidR="00A26F95" w:rsidRDefault="00A26F95" w:rsidP="00CB4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FF3E" w14:textId="77777777" w:rsidR="00CB4FEE" w:rsidRPr="00CB4FEE" w:rsidRDefault="00CB4FEE" w:rsidP="00CB4FEE">
    <w:pPr>
      <w:pStyle w:val="Kopfzeile"/>
      <w:jc w:val="right"/>
      <w:rPr>
        <w:rFonts w:ascii="Calibri" w:hAnsi="Calibri" w:cs="Calibri"/>
        <w:sz w:val="20"/>
        <w:szCs w:val="20"/>
      </w:rPr>
    </w:pPr>
    <w:r w:rsidRPr="00CB4FEE">
      <w:rPr>
        <w:rFonts w:ascii="Calibri" w:hAnsi="Calibri" w:cs="Calibri"/>
        <w:sz w:val="20"/>
        <w:szCs w:val="20"/>
      </w:rPr>
      <w:t>Interzum, 20 - 23 May 2025</w:t>
    </w:r>
  </w:p>
  <w:p w14:paraId="5AD82363" w14:textId="7EC5C5EB" w:rsidR="00CB4FEE" w:rsidRPr="00CB4FEE" w:rsidRDefault="00CB4FEE" w:rsidP="00CB4FEE">
    <w:pPr>
      <w:pStyle w:val="Kopfzeile"/>
      <w:jc w:val="right"/>
      <w:rPr>
        <w:rFonts w:ascii="Calibri" w:hAnsi="Calibri" w:cs="Calibri"/>
        <w:sz w:val="20"/>
        <w:szCs w:val="20"/>
      </w:rPr>
    </w:pPr>
    <w:r w:rsidRPr="00CB4FEE">
      <w:rPr>
        <w:rFonts w:ascii="Calibri" w:hAnsi="Calibri" w:cs="Calibri"/>
        <w:sz w:val="20"/>
        <w:szCs w:val="20"/>
      </w:rPr>
      <w:t>PR-No. 10028-0029-05/2025</w:t>
    </w:r>
  </w:p>
  <w:p w14:paraId="30D2721F" w14:textId="77777777" w:rsidR="00CB4FEE" w:rsidRPr="00CB4FEE" w:rsidRDefault="00CB4FEE" w:rsidP="00CB4FEE">
    <w:pPr>
      <w:pStyle w:val="Kopfzeile"/>
      <w:jc w:val="right"/>
      <w:rPr>
        <w:rFonts w:ascii="Calibri" w:hAnsi="Calibri" w:cs="Calibri"/>
        <w:sz w:val="20"/>
        <w:szCs w:val="20"/>
      </w:rPr>
    </w:pPr>
    <w:r w:rsidRPr="00CB4FEE">
      <w:rPr>
        <w:rFonts w:ascii="Calibri" w:hAnsi="Calibri" w:cs="Calibri"/>
        <w:sz w:val="20"/>
        <w:szCs w:val="20"/>
      </w:rPr>
      <w:t>Multi-talented pivot and folding/slide-in hardware</w:t>
    </w:r>
  </w:p>
  <w:p w14:paraId="13B351DE" w14:textId="3CB771D3" w:rsidR="00CB4FEE" w:rsidRPr="00CB4FEE" w:rsidRDefault="00CB4FEE" w:rsidP="00CB4FEE">
    <w:pPr>
      <w:pStyle w:val="Kopfzeile"/>
      <w:jc w:val="right"/>
      <w:rPr>
        <w:rFonts w:ascii="Calibri" w:hAnsi="Calibri" w:cs="Calibri"/>
        <w:sz w:val="20"/>
        <w:szCs w:val="20"/>
      </w:rPr>
    </w:pPr>
    <w:r w:rsidRPr="00CB4FEE">
      <w:rPr>
        <w:rFonts w:ascii="Calibri" w:hAnsi="Calibri" w:cs="Calibri"/>
        <w:sz w:val="20"/>
        <w:szCs w:val="20"/>
      </w:rPr>
      <w:t>Hawa demonstrated the installation of the “Concepta III” family</w:t>
    </w:r>
    <w:r>
      <w:rPr>
        <w:rFonts w:ascii="Calibri" w:hAnsi="Calibri" w:cs="Calibri"/>
        <w:sz w:val="20"/>
        <w:szCs w:val="20"/>
      </w:rPr>
      <w:t xml:space="preserve"> – page </w:t>
    </w:r>
    <w:r w:rsidRPr="00CB4FEE">
      <w:rPr>
        <w:rFonts w:ascii="Calibri" w:hAnsi="Calibri" w:cs="Calibri"/>
        <w:sz w:val="20"/>
        <w:szCs w:val="20"/>
      </w:rPr>
      <w:fldChar w:fldCharType="begin"/>
    </w:r>
    <w:r w:rsidRPr="00CB4FEE">
      <w:rPr>
        <w:rFonts w:ascii="Calibri" w:hAnsi="Calibri" w:cs="Calibri"/>
        <w:sz w:val="20"/>
        <w:szCs w:val="20"/>
      </w:rPr>
      <w:instrText>PAGE   \* MERGEFORMAT</w:instrText>
    </w:r>
    <w:r w:rsidRPr="00CB4FEE">
      <w:rPr>
        <w:rFonts w:ascii="Calibri" w:hAnsi="Calibri" w:cs="Calibri"/>
        <w:sz w:val="20"/>
        <w:szCs w:val="20"/>
      </w:rPr>
      <w:fldChar w:fldCharType="separate"/>
    </w:r>
    <w:r w:rsidRPr="00CB4FEE">
      <w:rPr>
        <w:rFonts w:ascii="Calibri" w:hAnsi="Calibri" w:cs="Calibri"/>
        <w:sz w:val="20"/>
        <w:szCs w:val="20"/>
      </w:rPr>
      <w:t>1</w:t>
    </w:r>
    <w:r w:rsidRPr="00CB4FEE">
      <w:rPr>
        <w:rFonts w:ascii="Calibri" w:hAnsi="Calibri" w:cs="Calibri"/>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66"/>
    <w:rsid w:val="00075560"/>
    <w:rsid w:val="00111D2D"/>
    <w:rsid w:val="00176966"/>
    <w:rsid w:val="00220536"/>
    <w:rsid w:val="002504DD"/>
    <w:rsid w:val="00425842"/>
    <w:rsid w:val="00466D7C"/>
    <w:rsid w:val="004E45D4"/>
    <w:rsid w:val="00682523"/>
    <w:rsid w:val="006F7134"/>
    <w:rsid w:val="007B2628"/>
    <w:rsid w:val="007C305E"/>
    <w:rsid w:val="007D26F3"/>
    <w:rsid w:val="007D5338"/>
    <w:rsid w:val="008B2A66"/>
    <w:rsid w:val="00923C21"/>
    <w:rsid w:val="00A26F95"/>
    <w:rsid w:val="00A31A58"/>
    <w:rsid w:val="00BA28A1"/>
    <w:rsid w:val="00C268DA"/>
    <w:rsid w:val="00C72FD2"/>
    <w:rsid w:val="00C85BE4"/>
    <w:rsid w:val="00CB4FEE"/>
    <w:rsid w:val="00CF32AE"/>
    <w:rsid w:val="00DD0F27"/>
    <w:rsid w:val="00E1533C"/>
    <w:rsid w:val="00E17D1E"/>
    <w:rsid w:val="00E52293"/>
    <w:rsid w:val="00E9453A"/>
    <w:rsid w:val="00EC4BB7"/>
    <w:rsid w:val="00F641EE"/>
    <w:rsid w:val="00F75E1F"/>
    <w:rsid w:val="00F929B4"/>
    <w:rsid w:val="00FA7136"/>
    <w:rsid w:val="00FB3495"/>
    <w:rsid w:val="00FB3F1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0D5C"/>
  <w15:chartTrackingRefBased/>
  <w15:docId w15:val="{1AE1691C-C0ED-451A-9957-A84CC00A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B2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B2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B2A6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B2A6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B2A6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B2A6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B2A6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B2A6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B2A6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2A6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B2A6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B2A6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B2A6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B2A6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B2A6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B2A6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B2A6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B2A66"/>
    <w:rPr>
      <w:rFonts w:eastAsiaTheme="majorEastAsia" w:cstheme="majorBidi"/>
      <w:color w:val="272727" w:themeColor="text1" w:themeTint="D8"/>
    </w:rPr>
  </w:style>
  <w:style w:type="paragraph" w:styleId="Titel">
    <w:name w:val="Title"/>
    <w:basedOn w:val="Standard"/>
    <w:next w:val="Standard"/>
    <w:link w:val="TitelZchn"/>
    <w:uiPriority w:val="10"/>
    <w:qFormat/>
    <w:rsid w:val="008B2A6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B2A6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B2A6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B2A6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B2A6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B2A66"/>
    <w:rPr>
      <w:i/>
      <w:iCs/>
      <w:color w:val="404040" w:themeColor="text1" w:themeTint="BF"/>
    </w:rPr>
  </w:style>
  <w:style w:type="paragraph" w:styleId="Listenabsatz">
    <w:name w:val="List Paragraph"/>
    <w:basedOn w:val="Standard"/>
    <w:uiPriority w:val="34"/>
    <w:qFormat/>
    <w:rsid w:val="008B2A66"/>
    <w:pPr>
      <w:ind w:left="720"/>
      <w:contextualSpacing/>
    </w:pPr>
  </w:style>
  <w:style w:type="character" w:styleId="IntensiveHervorhebung">
    <w:name w:val="Intense Emphasis"/>
    <w:basedOn w:val="Absatz-Standardschriftart"/>
    <w:uiPriority w:val="21"/>
    <w:qFormat/>
    <w:rsid w:val="008B2A66"/>
    <w:rPr>
      <w:i/>
      <w:iCs/>
      <w:color w:val="0F4761" w:themeColor="accent1" w:themeShade="BF"/>
    </w:rPr>
  </w:style>
  <w:style w:type="paragraph" w:styleId="IntensivesZitat">
    <w:name w:val="Intense Quote"/>
    <w:basedOn w:val="Standard"/>
    <w:next w:val="Standard"/>
    <w:link w:val="IntensivesZitatZchn"/>
    <w:uiPriority w:val="30"/>
    <w:qFormat/>
    <w:rsid w:val="008B2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B2A66"/>
    <w:rPr>
      <w:i/>
      <w:iCs/>
      <w:color w:val="0F4761" w:themeColor="accent1" w:themeShade="BF"/>
    </w:rPr>
  </w:style>
  <w:style w:type="character" w:styleId="IntensiverVerweis">
    <w:name w:val="Intense Reference"/>
    <w:basedOn w:val="Absatz-Standardschriftart"/>
    <w:uiPriority w:val="32"/>
    <w:qFormat/>
    <w:rsid w:val="008B2A66"/>
    <w:rPr>
      <w:b/>
      <w:bCs/>
      <w:smallCaps/>
      <w:color w:val="0F4761" w:themeColor="accent1" w:themeShade="BF"/>
      <w:spacing w:val="5"/>
    </w:rPr>
  </w:style>
  <w:style w:type="paragraph" w:styleId="Kopfzeile">
    <w:name w:val="header"/>
    <w:basedOn w:val="Standard"/>
    <w:link w:val="KopfzeileZchn"/>
    <w:uiPriority w:val="99"/>
    <w:unhideWhenUsed/>
    <w:rsid w:val="00CB4FEE"/>
    <w:pPr>
      <w:tabs>
        <w:tab w:val="center" w:pos="4536"/>
        <w:tab w:val="right" w:pos="9072"/>
      </w:tabs>
    </w:pPr>
  </w:style>
  <w:style w:type="character" w:customStyle="1" w:styleId="KopfzeileZchn">
    <w:name w:val="Kopfzeile Zchn"/>
    <w:basedOn w:val="Absatz-Standardschriftart"/>
    <w:link w:val="Kopfzeile"/>
    <w:uiPriority w:val="99"/>
    <w:rsid w:val="00CB4FEE"/>
  </w:style>
  <w:style w:type="paragraph" w:styleId="Fuzeile">
    <w:name w:val="footer"/>
    <w:basedOn w:val="Standard"/>
    <w:link w:val="FuzeileZchn"/>
    <w:uiPriority w:val="99"/>
    <w:unhideWhenUsed/>
    <w:rsid w:val="00CB4FEE"/>
    <w:pPr>
      <w:tabs>
        <w:tab w:val="center" w:pos="4536"/>
        <w:tab w:val="right" w:pos="9072"/>
      </w:tabs>
    </w:pPr>
  </w:style>
  <w:style w:type="character" w:customStyle="1" w:styleId="FuzeileZchn">
    <w:name w:val="Fußzeile Zchn"/>
    <w:basedOn w:val="Absatz-Standardschriftart"/>
    <w:link w:val="Fuzeile"/>
    <w:uiPriority w:val="99"/>
    <w:rsid w:val="00CB4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3a06ce-21c8-4cc3-96f3-027432243146">
      <Terms xmlns="http://schemas.microsoft.com/office/infopath/2007/PartnerControls"/>
    </lcf76f155ced4ddcb4097134ff3c332f>
    <TaxCatchAll xmlns="eedad064-3359-4b5f-b6f6-93f995e6ce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8670F868EAF349811733E1331B69A8" ma:contentTypeVersion="19" ma:contentTypeDescription="Ein neues Dokument erstellen." ma:contentTypeScope="" ma:versionID="541b0b740031e2a9af04f148fd22cd9a">
  <xsd:schema xmlns:xsd="http://www.w3.org/2001/XMLSchema" xmlns:xs="http://www.w3.org/2001/XMLSchema" xmlns:p="http://schemas.microsoft.com/office/2006/metadata/properties" xmlns:ns2="ad3a06ce-21c8-4cc3-96f3-027432243146" xmlns:ns3="eedad064-3359-4b5f-b6f6-93f995e6ce3b" targetNamespace="http://schemas.microsoft.com/office/2006/metadata/properties" ma:root="true" ma:fieldsID="c8847ffcbbd8236fbb311d4e95fc7a55" ns2:_="" ns3:_="">
    <xsd:import namespace="ad3a06ce-21c8-4cc3-96f3-027432243146"/>
    <xsd:import namespace="eedad064-3359-4b5f-b6f6-93f995e6ce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a06ce-21c8-4cc3-96f3-027432243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f30ad21e-1975-4a78-aaec-8250a90752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dad064-3359-4b5f-b6f6-93f995e6ce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bb756b7-2f60-4c20-a11a-14be471ab771}" ma:internalName="TaxCatchAll" ma:showField="CatchAllData" ma:web="eedad064-3359-4b5f-b6f6-93f995e6ce3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B4F6AD-4C00-458C-8502-B0957D3966A3}">
  <ds:schemaRefs>
    <ds:schemaRef ds:uri="http://schemas.microsoft.com/office/2006/metadata/properties"/>
    <ds:schemaRef ds:uri="http://schemas.microsoft.com/office/infopath/2007/PartnerControls"/>
    <ds:schemaRef ds:uri="ad3a06ce-21c8-4cc3-96f3-027432243146"/>
    <ds:schemaRef ds:uri="eedad064-3359-4b5f-b6f6-93f995e6ce3b"/>
  </ds:schemaRefs>
</ds:datastoreItem>
</file>

<file path=customXml/itemProps2.xml><?xml version="1.0" encoding="utf-8"?>
<ds:datastoreItem xmlns:ds="http://schemas.openxmlformats.org/officeDocument/2006/customXml" ds:itemID="{5189D51A-7F77-4A27-9D51-2B63BF480515}">
  <ds:schemaRefs>
    <ds:schemaRef ds:uri="http://schemas.microsoft.com/sharepoint/v3/contenttype/forms"/>
  </ds:schemaRefs>
</ds:datastoreItem>
</file>

<file path=customXml/itemProps3.xml><?xml version="1.0" encoding="utf-8"?>
<ds:datastoreItem xmlns:ds="http://schemas.openxmlformats.org/officeDocument/2006/customXml" ds:itemID="{314CD1F3-75ED-4D87-AA29-14D5DD748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a06ce-21c8-4cc3-96f3-027432243146"/>
    <ds:schemaRef ds:uri="eedad064-3359-4b5f-b6f6-93f995e6c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2069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Hannemann</dc:creator>
  <cp:keywords/>
  <dc:description/>
  <cp:lastModifiedBy>Bianca Hannemann</cp:lastModifiedBy>
  <cp:revision>3</cp:revision>
  <dcterms:created xsi:type="dcterms:W3CDTF">2025-05-28T07:29:00Z</dcterms:created>
  <dcterms:modified xsi:type="dcterms:W3CDTF">2025-05-28T07:34:00Z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0x010100418670F868EAF349811733E1331B69A8</vt:lpwstr>
  </property>
</Properties>
</file>