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29C55" w14:textId="77777777" w:rsidR="00E022FB" w:rsidRPr="00E022FB" w:rsidRDefault="00E022FB">
      <w:pPr>
        <w:rPr>
          <w:rFonts w:ascii="Calibri" w:hAnsi="Calibri"/>
          <w:bCs/>
          <w:sz w:val="20"/>
          <w:szCs w:val="20"/>
        </w:rPr>
      </w:pPr>
      <w:r w:rsidRPr="00E022FB">
        <w:rPr>
          <w:rFonts w:ascii="Calibri" w:hAnsi="Calibri"/>
          <w:bCs/>
          <w:sz w:val="20"/>
          <w:szCs w:val="20"/>
        </w:rPr>
        <w:t>PR no. 10028-0036-07/2026</w:t>
      </w:r>
    </w:p>
    <w:p w14:paraId="77C03F9A" w14:textId="77777777" w:rsidR="00E022FB" w:rsidRDefault="00E022FB">
      <w:pPr>
        <w:rPr>
          <w:rFonts w:ascii="Calibri" w:hAnsi="Calibri"/>
          <w:b/>
          <w:sz w:val="28"/>
        </w:rPr>
      </w:pPr>
    </w:p>
    <w:p w14:paraId="78E89195" w14:textId="40A43CE0" w:rsidR="00386509" w:rsidRPr="00F25502" w:rsidRDefault="006533FB">
      <w:pPr>
        <w:rPr>
          <w:rFonts w:ascii="Calibri" w:hAnsi="Calibri" w:cs="Calibri"/>
          <w:b/>
          <w:bCs/>
          <w:sz w:val="28"/>
          <w:szCs w:val="28"/>
        </w:rPr>
      </w:pPr>
      <w:r>
        <w:rPr>
          <w:rFonts w:ascii="Calibri" w:hAnsi="Calibri"/>
          <w:b/>
          <w:sz w:val="28"/>
        </w:rPr>
        <w:t xml:space="preserve">Maîtrise des espaces et des cloisons </w:t>
      </w:r>
    </w:p>
    <w:p w14:paraId="48CCFBEB" w14:textId="77777777" w:rsidR="00386509" w:rsidRPr="00F25502" w:rsidRDefault="00386509">
      <w:pPr>
        <w:rPr>
          <w:rFonts w:ascii="Calibri" w:hAnsi="Calibri" w:cs="Calibri"/>
          <w:b/>
          <w:bCs/>
        </w:rPr>
      </w:pPr>
      <w:r>
        <w:rPr>
          <w:rFonts w:ascii="Calibri" w:hAnsi="Calibri"/>
          <w:b/>
        </w:rPr>
        <w:t>Les multiples talents d’un système de ferrures coulissantes</w:t>
      </w:r>
    </w:p>
    <w:p w14:paraId="10C31469" w14:textId="77777777" w:rsidR="00450300" w:rsidRPr="00F25502" w:rsidRDefault="00450300" w:rsidP="0024117B">
      <w:pPr>
        <w:rPr>
          <w:rFonts w:ascii="Calibri" w:hAnsi="Calibri" w:cs="Calibri"/>
          <w:color w:val="EE0000"/>
        </w:rPr>
      </w:pPr>
    </w:p>
    <w:p w14:paraId="704A95A2" w14:textId="266D7C7E" w:rsidR="008756AB" w:rsidRPr="00F25502" w:rsidRDefault="00450300" w:rsidP="00E022FB">
      <w:pPr>
        <w:spacing w:line="274" w:lineRule="auto"/>
        <w:rPr>
          <w:rFonts w:ascii="Calibri" w:hAnsi="Calibri" w:cs="Calibri"/>
          <w:b/>
          <w:bCs/>
        </w:rPr>
      </w:pPr>
      <w:r>
        <w:rPr>
          <w:rFonts w:ascii="Calibri" w:hAnsi="Calibri"/>
          <w:b/>
        </w:rPr>
        <w:t>Son nom est Hawa Junior 100, mais il a depuis longtemps quitté l’adolescence et laissé derrière lui ses petits caprices de jeunesse. Aujourd’hui, cette ferrure pour portes coulissantes se présente comme une solution polyvalente et robuste qui, grâce à ses différentes versions et possibilités de montage, s’adapte aux projets architecturaux et d’aménagement les plus variés ainsi qu’aux différentes situations de vie, tout en apportant un soutien fiable aux utilisateurs en situation de handicap.</w:t>
      </w:r>
    </w:p>
    <w:p w14:paraId="3CDB9DC1" w14:textId="77777777" w:rsidR="000A1059" w:rsidRPr="00F25502" w:rsidRDefault="000A1059" w:rsidP="00E022FB">
      <w:pPr>
        <w:spacing w:line="274" w:lineRule="auto"/>
        <w:rPr>
          <w:rFonts w:ascii="Calibri" w:hAnsi="Calibri" w:cs="Calibri"/>
          <w:b/>
          <w:bCs/>
        </w:rPr>
      </w:pPr>
    </w:p>
    <w:p w14:paraId="43360F57" w14:textId="34A37948" w:rsidR="00F04B6D" w:rsidRPr="00F25502" w:rsidRDefault="00D56936" w:rsidP="00E022FB">
      <w:pPr>
        <w:spacing w:line="274" w:lineRule="auto"/>
        <w:rPr>
          <w:rFonts w:ascii="Calibri" w:hAnsi="Calibri" w:cs="Calibri"/>
        </w:rPr>
      </w:pPr>
      <w:r>
        <w:rPr>
          <w:rFonts w:ascii="Calibri" w:hAnsi="Calibri"/>
        </w:rPr>
        <w:t xml:space="preserve">« Hawa Junior 100 est l’une de nos ferrures préférées », explique Oliver Klingebiel, chef de projet chez </w:t>
      </w:r>
      <w:proofErr w:type="spellStart"/>
      <w:r>
        <w:rPr>
          <w:rFonts w:ascii="Calibri" w:hAnsi="Calibri"/>
        </w:rPr>
        <w:t>Nießing</w:t>
      </w:r>
      <w:proofErr w:type="spellEnd"/>
      <w:r>
        <w:rPr>
          <w:rFonts w:ascii="Calibri" w:hAnsi="Calibri"/>
        </w:rPr>
        <w:t xml:space="preserve">-Türen, à </w:t>
      </w:r>
      <w:proofErr w:type="spellStart"/>
      <w:r>
        <w:rPr>
          <w:rFonts w:ascii="Calibri" w:hAnsi="Calibri"/>
        </w:rPr>
        <w:t>Borken</w:t>
      </w:r>
      <w:proofErr w:type="spellEnd"/>
      <w:r>
        <w:rPr>
          <w:rFonts w:ascii="Calibri" w:hAnsi="Calibri"/>
        </w:rPr>
        <w:t xml:space="preserve">. Grâce à sa capacité de charge élevée et à sa grande flexibilité, ce système de ferrures convient à presque toutes les portes coulissantes de l’entreprise. Employant plus de 50 collaborateurs, </w:t>
      </w:r>
      <w:proofErr w:type="spellStart"/>
      <w:r>
        <w:rPr>
          <w:rFonts w:ascii="Calibri" w:hAnsi="Calibri"/>
        </w:rPr>
        <w:t>Nießing</w:t>
      </w:r>
      <w:proofErr w:type="spellEnd"/>
      <w:r>
        <w:rPr>
          <w:rFonts w:ascii="Calibri" w:hAnsi="Calibri"/>
        </w:rPr>
        <w:t xml:space="preserve"> développe et fabrique des solutions de portes individuelles pour les architectes, les menuisiers et les maîtres d’ouvrage privés ayant de grandes exigences en matière de qualité. La ferrure Hawa Junior 100 convient aussi bien aux solutions Pocket qu’aux solutions pour portes coulissantes devant le mur, ainsi qu’aux portes avec isolation phonique et portes XXL. </w:t>
      </w:r>
    </w:p>
    <w:p w14:paraId="28D09B34" w14:textId="77777777" w:rsidR="00F04B6D" w:rsidRPr="00F25502" w:rsidRDefault="00F04B6D" w:rsidP="00E022FB">
      <w:pPr>
        <w:spacing w:line="274" w:lineRule="auto"/>
        <w:rPr>
          <w:rFonts w:ascii="Calibri" w:hAnsi="Calibri" w:cs="Calibri"/>
        </w:rPr>
      </w:pPr>
    </w:p>
    <w:p w14:paraId="6F14509D" w14:textId="6A0FF637" w:rsidR="006A2E0F" w:rsidRPr="00F25502" w:rsidRDefault="009B649A" w:rsidP="00E022FB">
      <w:pPr>
        <w:spacing w:line="274" w:lineRule="auto"/>
        <w:rPr>
          <w:rFonts w:ascii="Calibri" w:hAnsi="Calibri" w:cs="Calibri"/>
          <w:color w:val="EE0000"/>
        </w:rPr>
      </w:pPr>
      <w:r>
        <w:rPr>
          <w:rFonts w:ascii="Calibri" w:hAnsi="Calibri"/>
        </w:rPr>
        <w:t xml:space="preserve">Son grand confort d’utilisation est d’ailleurs l’un des principaux atouts, souligne Monsieur Klingebiel : « La ferrure Hawa Junior 100 déplace des portes coulissantes jusqu’à 100 kg avec une facilité inégalée. Un système d’amortisseur à aimant réduit les forces d’ouverture nécessaires à un minimum – pour garantir la facilité d’utilisation. Des galets Confort à roulements à billes assurent un fonctionnement silencieux et fluide. » </w:t>
      </w:r>
    </w:p>
    <w:p w14:paraId="45460080" w14:textId="77777777" w:rsidR="006A2E0F" w:rsidRDefault="006A2E0F" w:rsidP="00E022FB">
      <w:pPr>
        <w:spacing w:line="274" w:lineRule="auto"/>
        <w:rPr>
          <w:rFonts w:ascii="Calibri" w:hAnsi="Calibri" w:cs="Calibri"/>
        </w:rPr>
      </w:pPr>
    </w:p>
    <w:p w14:paraId="32685A14" w14:textId="77777777" w:rsidR="00E022FB" w:rsidRDefault="00E022FB" w:rsidP="00E022FB">
      <w:pPr>
        <w:spacing w:line="274" w:lineRule="auto"/>
        <w:rPr>
          <w:rFonts w:ascii="Calibri" w:hAnsi="Calibri" w:cs="Calibri"/>
        </w:rPr>
      </w:pPr>
    </w:p>
    <w:p w14:paraId="0C3BB593" w14:textId="77777777" w:rsidR="00E022FB" w:rsidRPr="00F25502" w:rsidRDefault="00E022FB" w:rsidP="00E022FB">
      <w:pPr>
        <w:spacing w:line="274" w:lineRule="auto"/>
        <w:rPr>
          <w:rFonts w:ascii="Calibri" w:hAnsi="Calibri" w:cs="Calibri"/>
        </w:rPr>
      </w:pPr>
    </w:p>
    <w:p w14:paraId="5985F821" w14:textId="2BF22C03" w:rsidR="00190B02" w:rsidRPr="00F25502" w:rsidRDefault="00725F38" w:rsidP="00E022FB">
      <w:pPr>
        <w:spacing w:line="274" w:lineRule="auto"/>
        <w:rPr>
          <w:rFonts w:ascii="Calibri" w:hAnsi="Calibri" w:cs="Calibri"/>
          <w:b/>
          <w:bCs/>
        </w:rPr>
      </w:pPr>
      <w:r>
        <w:rPr>
          <w:rFonts w:ascii="Calibri" w:hAnsi="Calibri"/>
          <w:b/>
        </w:rPr>
        <w:lastRenderedPageBreak/>
        <w:t>Planification de l’espace selon le principe du design universel</w:t>
      </w:r>
    </w:p>
    <w:p w14:paraId="6CD5043D" w14:textId="77777777" w:rsidR="00D56936" w:rsidRPr="00F25502" w:rsidRDefault="00D56936" w:rsidP="00E022FB">
      <w:pPr>
        <w:spacing w:line="274" w:lineRule="auto"/>
        <w:rPr>
          <w:rFonts w:ascii="Calibri" w:hAnsi="Calibri" w:cs="Calibri"/>
        </w:rPr>
      </w:pPr>
    </w:p>
    <w:p w14:paraId="315A806A" w14:textId="57147FCE" w:rsidR="008D1899" w:rsidRPr="00F25502" w:rsidRDefault="00725F38" w:rsidP="00E022FB">
      <w:pPr>
        <w:spacing w:line="274" w:lineRule="auto"/>
        <w:rPr>
          <w:rFonts w:ascii="Calibri" w:hAnsi="Calibri" w:cs="Calibri"/>
        </w:rPr>
      </w:pPr>
      <w:r>
        <w:rPr>
          <w:rFonts w:ascii="Calibri" w:hAnsi="Calibri"/>
        </w:rPr>
        <w:t>La Hawa Junior 100 permet à chacun d’ouvrir facilement toute porte, aujourd’hui comme à l’avenir, car cette ferrure tient d’ores et déjà compte des besoins les plus variés des utilisateurs : une personne en fauteuil roulant qui utilise la porte en position assise, un sportif blessé se déplaçant avec des béquilles, un enfant qui ne dispose pas encore de suffisamment de force, une mère avec une poussette ou encore une personne âgée utilisant un déambulateur. Pour toutes ces personnes, une porte pivotante classique avec son large angle d’ouverture représente souvent un obstacle encombrant et difficile à manœuvrer, nécessitant plusieurs mouvements avant de pouvoir passer par l’ouverture lorsque la porte est entièrement ouverte.</w:t>
      </w:r>
    </w:p>
    <w:p w14:paraId="414B5BB4" w14:textId="77777777" w:rsidR="00C819D4" w:rsidRPr="00F25502" w:rsidRDefault="00C819D4" w:rsidP="00E022FB">
      <w:pPr>
        <w:spacing w:line="274" w:lineRule="auto"/>
        <w:rPr>
          <w:rFonts w:ascii="Calibri" w:hAnsi="Calibri" w:cs="Calibri"/>
        </w:rPr>
      </w:pPr>
    </w:p>
    <w:p w14:paraId="664360F0" w14:textId="34C08DE9" w:rsidR="00E714DF" w:rsidRPr="00F25502" w:rsidRDefault="00DD5AE4" w:rsidP="00E022FB">
      <w:pPr>
        <w:spacing w:line="274" w:lineRule="auto"/>
        <w:rPr>
          <w:rFonts w:ascii="Calibri" w:hAnsi="Calibri" w:cs="Calibri"/>
        </w:rPr>
      </w:pPr>
      <w:r>
        <w:rPr>
          <w:rFonts w:ascii="Calibri" w:hAnsi="Calibri"/>
        </w:rPr>
        <w:t xml:space="preserve">Cependant, lorsque l’accessibilité et l’inclusion font partie des critères de planification essentiels, les portes coulissantes constituent le premier choix. Elles coulissent parallèlement au mur, permettant de gagner de la place tout en offrant une largeur de passage maximale et une liberté de mouvement accrue pour se déplacer plus aisément. Hawa Junior 100 constitue la base d’une telle porte qui s’ouvre sans effort – avec moins de 22 newtons. Le guidage de fond inférieur sans jeu sans jeu, encastré dans le mur, reste invisible. </w:t>
      </w:r>
    </w:p>
    <w:p w14:paraId="26E2E461" w14:textId="77777777" w:rsidR="000C082F" w:rsidRPr="00F25502" w:rsidRDefault="000C082F" w:rsidP="00E022FB">
      <w:pPr>
        <w:spacing w:line="274" w:lineRule="auto"/>
        <w:rPr>
          <w:rFonts w:ascii="Calibri" w:hAnsi="Calibri" w:cs="Calibri"/>
          <w:b/>
          <w:bCs/>
        </w:rPr>
      </w:pPr>
    </w:p>
    <w:p w14:paraId="0311CD1C" w14:textId="64D5E29C" w:rsidR="006F5294" w:rsidRPr="00F25502" w:rsidRDefault="006F5294" w:rsidP="00E022FB">
      <w:pPr>
        <w:spacing w:line="274" w:lineRule="auto"/>
        <w:rPr>
          <w:rFonts w:ascii="Calibri" w:hAnsi="Calibri" w:cs="Calibri"/>
          <w:b/>
          <w:bCs/>
        </w:rPr>
      </w:pPr>
      <w:r>
        <w:rPr>
          <w:rFonts w:ascii="Calibri" w:hAnsi="Calibri"/>
          <w:b/>
        </w:rPr>
        <w:t>Un système – de nombreuses solutions</w:t>
      </w:r>
    </w:p>
    <w:p w14:paraId="51EBCE9E" w14:textId="77777777" w:rsidR="001B77C2" w:rsidRPr="00F25502" w:rsidRDefault="001B77C2" w:rsidP="00E022FB">
      <w:pPr>
        <w:spacing w:line="274" w:lineRule="auto"/>
        <w:rPr>
          <w:rFonts w:ascii="Calibri" w:hAnsi="Calibri" w:cs="Calibri"/>
        </w:rPr>
      </w:pPr>
    </w:p>
    <w:p w14:paraId="6C4F9318" w14:textId="2248A441" w:rsidR="00E7662C" w:rsidRPr="00F25502" w:rsidRDefault="00214F97" w:rsidP="00E022FB">
      <w:pPr>
        <w:spacing w:line="274" w:lineRule="auto"/>
        <w:rPr>
          <w:rFonts w:ascii="Calibri" w:hAnsi="Calibri" w:cs="Calibri"/>
        </w:rPr>
      </w:pPr>
      <w:r>
        <w:rPr>
          <w:rFonts w:ascii="Calibri" w:hAnsi="Calibri"/>
        </w:rPr>
        <w:t>« Nous fabriquons souvent des portes coulissantes à galandage toute hauteur jusqu’au plafond et utilisons pour cela la variante Pocket de la ferrure Hawa Junior 100 », explique Monsieur Klingebiel, maître menuisier diplômé en gestion d’entreprise.  « Le système rail-dans-rail présente le grand avantage de pouvoir être monté et démonté proprement à tout moment, même lorsque le caisson à galandage est déjà posé. »</w:t>
      </w:r>
    </w:p>
    <w:p w14:paraId="231B0FD2" w14:textId="77777777" w:rsidR="00214F97" w:rsidRPr="00F25502" w:rsidRDefault="00214F97" w:rsidP="00E022FB">
      <w:pPr>
        <w:spacing w:line="274" w:lineRule="auto"/>
        <w:rPr>
          <w:rFonts w:ascii="Calibri" w:hAnsi="Calibri" w:cs="Calibri"/>
        </w:rPr>
      </w:pPr>
    </w:p>
    <w:p w14:paraId="4930A598" w14:textId="1EB5065E" w:rsidR="00214F97" w:rsidRPr="00F25502" w:rsidRDefault="00214F97" w:rsidP="00E022FB">
      <w:pPr>
        <w:spacing w:line="274" w:lineRule="auto"/>
        <w:rPr>
          <w:rFonts w:ascii="Calibri" w:hAnsi="Calibri" w:cs="Calibri"/>
        </w:rPr>
      </w:pPr>
      <w:r>
        <w:rPr>
          <w:rFonts w:ascii="Calibri" w:hAnsi="Calibri"/>
        </w:rPr>
        <w:t xml:space="preserve">Pour les solutions de portes coulissantes à isolation phonique, </w:t>
      </w:r>
      <w:proofErr w:type="spellStart"/>
      <w:r>
        <w:rPr>
          <w:rFonts w:ascii="Calibri" w:hAnsi="Calibri"/>
        </w:rPr>
        <w:t>Nießing</w:t>
      </w:r>
      <w:proofErr w:type="spellEnd"/>
      <w:r>
        <w:rPr>
          <w:rFonts w:ascii="Calibri" w:hAnsi="Calibri"/>
        </w:rPr>
        <w:t xml:space="preserve"> utilise la ferrure Hawa Junior 100 avec le kit </w:t>
      </w:r>
      <w:proofErr w:type="spellStart"/>
      <w:r>
        <w:rPr>
          <w:rFonts w:ascii="Calibri" w:hAnsi="Calibri"/>
        </w:rPr>
        <w:t>Acoustics</w:t>
      </w:r>
      <w:proofErr w:type="spellEnd"/>
      <w:r>
        <w:rPr>
          <w:rFonts w:ascii="Calibri" w:hAnsi="Calibri"/>
        </w:rPr>
        <w:t xml:space="preserve">. L’efficacité </w:t>
      </w:r>
      <w:r>
        <w:rPr>
          <w:rFonts w:ascii="Calibri" w:hAnsi="Calibri"/>
        </w:rPr>
        <w:lastRenderedPageBreak/>
        <w:t>acoustique du système de ferrures est garantie par un joint d’étanchéité sur tout le pourtour n’exigeant aucun entretien. Il réduit fortement le bruit de fond d’une pièce à l’autre jusqu’à 41 décibels selon le panneau de porte lorsque la porte est fermée.</w:t>
      </w:r>
    </w:p>
    <w:p w14:paraId="4ED0E8D3" w14:textId="77777777" w:rsidR="000112E2" w:rsidRPr="00F25502" w:rsidRDefault="000112E2" w:rsidP="00E022FB">
      <w:pPr>
        <w:spacing w:line="274" w:lineRule="auto"/>
        <w:rPr>
          <w:rFonts w:ascii="Calibri" w:hAnsi="Calibri" w:cs="Calibri"/>
        </w:rPr>
      </w:pPr>
    </w:p>
    <w:p w14:paraId="011520B0" w14:textId="6AC95C05" w:rsidR="00A37FD8" w:rsidRDefault="00A47176" w:rsidP="00E022FB">
      <w:pPr>
        <w:spacing w:line="274" w:lineRule="auto"/>
        <w:rPr>
          <w:rFonts w:ascii="Calibri" w:hAnsi="Calibri" w:cs="Calibri"/>
        </w:rPr>
      </w:pPr>
      <w:r>
        <w:rPr>
          <w:rFonts w:ascii="Calibri" w:hAnsi="Calibri"/>
        </w:rPr>
        <w:t>En plus des solutions Pocket et à isolation phonique, ce système de ferrures permet également de réaliser des portes coulissantes en applique, pour lesquelles Hawa propose des rails de montage avec différentes distances entre le mur et la porte. Il est possible de réaliser de grandes ouvertures murales à un seul vantail jusqu’à une largeur maximale de trois mètres.</w:t>
      </w:r>
    </w:p>
    <w:p w14:paraId="09DF39D2" w14:textId="77777777" w:rsidR="00974565" w:rsidRDefault="00974565" w:rsidP="00E022FB">
      <w:pPr>
        <w:spacing w:line="274" w:lineRule="auto"/>
        <w:rPr>
          <w:rFonts w:ascii="Calibri" w:hAnsi="Calibri" w:cs="Calibri"/>
        </w:rPr>
      </w:pPr>
    </w:p>
    <w:p w14:paraId="37D3891E" w14:textId="45B0DACF" w:rsidR="005668AF" w:rsidRPr="005668AF" w:rsidRDefault="005668AF" w:rsidP="00E022FB">
      <w:pPr>
        <w:spacing w:line="274" w:lineRule="auto"/>
        <w:rPr>
          <w:rFonts w:ascii="Calibri" w:hAnsi="Calibri" w:cs="Calibri"/>
          <w:b/>
          <w:bCs/>
        </w:rPr>
      </w:pPr>
      <w:r>
        <w:rPr>
          <w:rFonts w:ascii="Calibri" w:hAnsi="Calibri"/>
          <w:b/>
        </w:rPr>
        <w:t>Concrétiser les idées avec efficacité</w:t>
      </w:r>
    </w:p>
    <w:p w14:paraId="394669EA" w14:textId="77777777" w:rsidR="005668AF" w:rsidRPr="00F25502" w:rsidRDefault="005668AF" w:rsidP="00E022FB">
      <w:pPr>
        <w:spacing w:line="274" w:lineRule="auto"/>
        <w:rPr>
          <w:rFonts w:ascii="Calibri" w:hAnsi="Calibri" w:cs="Calibri"/>
        </w:rPr>
      </w:pPr>
    </w:p>
    <w:p w14:paraId="6511BC09" w14:textId="79FE4B1C" w:rsidR="00A37FD8" w:rsidRPr="00F25502" w:rsidRDefault="00E564A7" w:rsidP="00E022FB">
      <w:pPr>
        <w:spacing w:line="274" w:lineRule="auto"/>
        <w:rPr>
          <w:rFonts w:ascii="Calibri" w:hAnsi="Calibri" w:cs="Calibri"/>
        </w:rPr>
      </w:pPr>
      <w:r>
        <w:rPr>
          <w:rFonts w:ascii="Calibri" w:hAnsi="Calibri"/>
        </w:rPr>
        <w:t>Ce système offre une grande variété d’applications personnalisées tout en reposant sur un nombre réduit de composants. Cela permet non seulement de réduire les coûts de stockage, mais aussi de simplifier la planification et la coordination, tout en gagnant un temps précieux.</w:t>
      </w:r>
    </w:p>
    <w:p w14:paraId="0C42DEC7" w14:textId="77777777" w:rsidR="00BB5A0E" w:rsidRPr="00F25502" w:rsidRDefault="00BB5A0E" w:rsidP="00E022FB">
      <w:pPr>
        <w:spacing w:line="274" w:lineRule="auto"/>
        <w:rPr>
          <w:rFonts w:ascii="Calibri" w:hAnsi="Calibri" w:cs="Calibri"/>
        </w:rPr>
      </w:pPr>
    </w:p>
    <w:p w14:paraId="793E50A2" w14:textId="39DC23B9" w:rsidR="00072EF3" w:rsidRPr="00F25502" w:rsidRDefault="00711AED" w:rsidP="00E022FB">
      <w:pPr>
        <w:spacing w:line="274" w:lineRule="auto"/>
        <w:rPr>
          <w:rFonts w:ascii="Calibri" w:hAnsi="Calibri" w:cs="Calibri"/>
        </w:rPr>
      </w:pPr>
      <w:r>
        <w:rPr>
          <w:rFonts w:ascii="Calibri" w:hAnsi="Calibri"/>
        </w:rPr>
        <w:t xml:space="preserve">Le degré élevé de prémontage et le réglage en continu de Hawa Junior 100 offrent d’autres avantages aux ébénistes-menuisiers. Manuel Lutz, responsable de la préparation du travail à la menuiserie </w:t>
      </w:r>
      <w:proofErr w:type="spellStart"/>
      <w:r>
        <w:rPr>
          <w:rFonts w:ascii="Calibri" w:hAnsi="Calibri"/>
        </w:rPr>
        <w:t>Sternath</w:t>
      </w:r>
      <w:proofErr w:type="spellEnd"/>
      <w:r>
        <w:rPr>
          <w:rFonts w:ascii="Calibri" w:hAnsi="Calibri"/>
        </w:rPr>
        <w:t xml:space="preserve"> à Hard/Autriche, raconte son expérience lors du montage de 80 portes coulissantes à l’hôpital régional de Rankweil/Autriche : « La ferrure a été très facile à monter, tant en atelier que sur le chantier lors de l’assemblage final. Facilement accessibles, les panneaux de porte peuvent être accrochés et décrochés en deux gestes simples, sans outil. » Le projet a été réalisé avec la ferrure Hawa Junior 100 B, équipée d’un amortisseur à l’ouverture et à la fermeture, dont certaines portes bénéficient également de la variante </w:t>
      </w:r>
      <w:proofErr w:type="spellStart"/>
      <w:r>
        <w:rPr>
          <w:rFonts w:ascii="Calibri" w:hAnsi="Calibri"/>
        </w:rPr>
        <w:t>Acoustics</w:t>
      </w:r>
      <w:proofErr w:type="spellEnd"/>
      <w:r>
        <w:rPr>
          <w:rFonts w:ascii="Calibri" w:hAnsi="Calibri"/>
        </w:rPr>
        <w:t>.</w:t>
      </w:r>
    </w:p>
    <w:p w14:paraId="7CC1B290" w14:textId="77777777" w:rsidR="001B77C2" w:rsidRPr="00F25502" w:rsidRDefault="001B77C2" w:rsidP="00E022FB">
      <w:pPr>
        <w:spacing w:line="274" w:lineRule="auto"/>
        <w:rPr>
          <w:rFonts w:ascii="Calibri" w:hAnsi="Calibri" w:cs="Calibri"/>
        </w:rPr>
      </w:pPr>
    </w:p>
    <w:p w14:paraId="5ACE03A2" w14:textId="49D141CE" w:rsidR="001B77C2" w:rsidRDefault="001B77C2" w:rsidP="00E022FB">
      <w:pPr>
        <w:spacing w:line="274" w:lineRule="auto"/>
        <w:rPr>
          <w:rFonts w:ascii="Calibri" w:hAnsi="Calibri" w:cs="Calibri"/>
        </w:rPr>
      </w:pPr>
      <w:r>
        <w:rPr>
          <w:rFonts w:ascii="Calibri" w:hAnsi="Calibri"/>
        </w:rPr>
        <w:t xml:space="preserve">La Hawa Junior 100 s’intègre dans presque tous les projets – constructions neuves ou existantes, logements privés ou maisons individuelles, habitats intergénérationnels ou projets du secteur tertiaire, tels que des espaces de travail accessibles aux personnes à </w:t>
      </w:r>
      <w:r>
        <w:rPr>
          <w:rFonts w:ascii="Calibri" w:hAnsi="Calibri"/>
        </w:rPr>
        <w:lastRenderedPageBreak/>
        <w:t xml:space="preserve">mobilité réduite, des établissements de soins ou des établissements </w:t>
      </w:r>
      <w:proofErr w:type="spellStart"/>
      <w:r>
        <w:rPr>
          <w:rFonts w:ascii="Calibri" w:hAnsi="Calibri"/>
        </w:rPr>
        <w:t>Hospitality</w:t>
      </w:r>
      <w:proofErr w:type="spellEnd"/>
      <w:r>
        <w:rPr>
          <w:rFonts w:ascii="Calibri" w:hAnsi="Calibri"/>
        </w:rPr>
        <w:t xml:space="preserve">. Hawa </w:t>
      </w:r>
      <w:proofErr w:type="spellStart"/>
      <w:r>
        <w:rPr>
          <w:rFonts w:ascii="Calibri" w:hAnsi="Calibri"/>
        </w:rPr>
        <w:t>Sliding</w:t>
      </w:r>
      <w:proofErr w:type="spellEnd"/>
      <w:r>
        <w:rPr>
          <w:rFonts w:ascii="Calibri" w:hAnsi="Calibri"/>
        </w:rPr>
        <w:t xml:space="preserve"> Solutions offre une garantie de performance de 15 ans pour un usage privé et de sept ans pour un usage commercial sur les faibles forces d’ouverture, qui ne dépassent pas 22 newtons.</w:t>
      </w:r>
    </w:p>
    <w:p w14:paraId="0AE5500D" w14:textId="77777777" w:rsidR="008B1E96" w:rsidRDefault="008B1E96" w:rsidP="00E022FB">
      <w:pPr>
        <w:spacing w:line="274" w:lineRule="auto"/>
        <w:rPr>
          <w:rFonts w:ascii="Calibri" w:hAnsi="Calibri" w:cs="Calibri"/>
        </w:rPr>
      </w:pPr>
    </w:p>
    <w:p w14:paraId="28C735F0" w14:textId="77777777" w:rsidR="008B1E96" w:rsidRDefault="008B1E96" w:rsidP="00E022FB">
      <w:pPr>
        <w:spacing w:line="274" w:lineRule="auto"/>
        <w:rPr>
          <w:rFonts w:ascii="Calibri" w:hAnsi="Calibri" w:cs="Calibri"/>
        </w:rPr>
      </w:pPr>
    </w:p>
    <w:p w14:paraId="437B46C6" w14:textId="71FC3218" w:rsidR="00116BDF" w:rsidRDefault="008B1E96" w:rsidP="00915D0F">
      <w:pPr>
        <w:rPr>
          <w:rFonts w:ascii="Calibri" w:hAnsi="Calibri" w:cs="Calibri"/>
        </w:rPr>
      </w:pPr>
      <w:r>
        <w:rPr>
          <w:rFonts w:ascii="Calibri" w:hAnsi="Calibri"/>
        </w:rPr>
        <w:t xml:space="preserve">Légende 1 : Le système rail-dans-rail de la solution Pocket pour la ferrure Hawa Junior 100 présente l’avantage de pouvoir être monté et démonté proprement à tout moment, même lorsque le caisson à galandage est déjà posé. Photo : Hawa </w:t>
      </w:r>
      <w:proofErr w:type="spellStart"/>
      <w:r>
        <w:rPr>
          <w:rFonts w:ascii="Calibri" w:hAnsi="Calibri"/>
        </w:rPr>
        <w:t>Sliding</w:t>
      </w:r>
      <w:proofErr w:type="spellEnd"/>
      <w:r>
        <w:rPr>
          <w:rFonts w:ascii="Calibri" w:hAnsi="Calibri"/>
        </w:rPr>
        <w:t xml:space="preserve"> Solutions</w:t>
      </w:r>
    </w:p>
    <w:p w14:paraId="55C299D6" w14:textId="77777777" w:rsidR="00E81127" w:rsidRDefault="00E81127" w:rsidP="00915D0F">
      <w:pPr>
        <w:rPr>
          <w:rFonts w:ascii="Calibri" w:hAnsi="Calibri" w:cs="Calibri"/>
        </w:rPr>
      </w:pPr>
    </w:p>
    <w:p w14:paraId="67F86AF8" w14:textId="0048942B" w:rsidR="00116BDF" w:rsidRDefault="00116BDF" w:rsidP="00915D0F">
      <w:pPr>
        <w:rPr>
          <w:rFonts w:ascii="Calibri" w:hAnsi="Calibri" w:cs="Calibri"/>
        </w:rPr>
      </w:pPr>
      <w:r>
        <w:rPr>
          <w:rFonts w:ascii="Calibri" w:hAnsi="Calibri"/>
        </w:rPr>
        <w:t xml:space="preserve">Légende 2 : Alors qu’avec son large angle d’ouverture, une porte pivotante classique représente souvent un obstacle encombrant et difficile à manœuvrer pour les personnes en fauteuil roulant, qui doivent effectuer plusieurs mouvements avant de pouvoir passer par l’ouverture lorsque la porte est entièrement ouverte, la Hawa Junior 100 permet à chacun d’ouvrir facilement toute porte. Photo : Hawa </w:t>
      </w:r>
      <w:proofErr w:type="spellStart"/>
      <w:r>
        <w:rPr>
          <w:rFonts w:ascii="Calibri" w:hAnsi="Calibri"/>
        </w:rPr>
        <w:t>Sliding</w:t>
      </w:r>
      <w:proofErr w:type="spellEnd"/>
      <w:r>
        <w:rPr>
          <w:rFonts w:ascii="Calibri" w:hAnsi="Calibri"/>
        </w:rPr>
        <w:t xml:space="preserve"> Solutions</w:t>
      </w:r>
    </w:p>
    <w:p w14:paraId="68678909" w14:textId="77777777" w:rsidR="00E81127" w:rsidRDefault="00E81127" w:rsidP="00915D0F">
      <w:pPr>
        <w:rPr>
          <w:rFonts w:ascii="Calibri" w:hAnsi="Calibri" w:cs="Calibri"/>
        </w:rPr>
      </w:pPr>
    </w:p>
    <w:p w14:paraId="078DEE54" w14:textId="0AAE959C" w:rsidR="00116BDF" w:rsidRDefault="000869FF" w:rsidP="00915D0F">
      <w:pPr>
        <w:rPr>
          <w:rFonts w:ascii="Calibri" w:hAnsi="Calibri" w:cs="Calibri"/>
        </w:rPr>
      </w:pPr>
      <w:r>
        <w:rPr>
          <w:rFonts w:ascii="Calibri" w:hAnsi="Calibri"/>
        </w:rPr>
        <w:t xml:space="preserve">Légende 3 : S’utilise avec un seul doigt : grâce à la ferrure Hawa Junior 100, les portes coulissantes s’ouvrent sans effort – avec moins de 22 newtons. Photo : Hawa </w:t>
      </w:r>
      <w:proofErr w:type="spellStart"/>
      <w:r>
        <w:rPr>
          <w:rFonts w:ascii="Calibri" w:hAnsi="Calibri"/>
        </w:rPr>
        <w:t>Sliding</w:t>
      </w:r>
      <w:proofErr w:type="spellEnd"/>
      <w:r>
        <w:rPr>
          <w:rFonts w:ascii="Calibri" w:hAnsi="Calibri"/>
        </w:rPr>
        <w:t xml:space="preserve"> Solutions</w:t>
      </w:r>
    </w:p>
    <w:p w14:paraId="6E2BAD05" w14:textId="77777777" w:rsidR="00116BDF" w:rsidRDefault="00116BDF" w:rsidP="00915D0F">
      <w:pPr>
        <w:rPr>
          <w:rFonts w:ascii="Calibri" w:hAnsi="Calibri" w:cs="Calibri"/>
        </w:rPr>
      </w:pPr>
    </w:p>
    <w:p w14:paraId="4CF28566" w14:textId="5FC3C56D" w:rsidR="00116BDF" w:rsidRDefault="000869FF" w:rsidP="00915D0F">
      <w:pPr>
        <w:rPr>
          <w:rFonts w:ascii="Calibri" w:hAnsi="Calibri" w:cs="Calibri"/>
        </w:rPr>
      </w:pPr>
      <w:r>
        <w:rPr>
          <w:rFonts w:ascii="Calibri" w:hAnsi="Calibri"/>
        </w:rPr>
        <w:t xml:space="preserve">Légende 4 : Lorsque l’accessibilité et l’inclusion font partie des critères de planification essentiels, les portes coulissantes constituent le premier choix. Elles coulissent parallèlement au mur, permettant de gagner de la place tout en offrant une largeur de passage maximale et une liberté de mouvement accrue pour se déplacer plus aisément. Photo : Hawa </w:t>
      </w:r>
      <w:proofErr w:type="spellStart"/>
      <w:r>
        <w:rPr>
          <w:rFonts w:ascii="Calibri" w:hAnsi="Calibri"/>
        </w:rPr>
        <w:t>Sliding</w:t>
      </w:r>
      <w:proofErr w:type="spellEnd"/>
      <w:r>
        <w:rPr>
          <w:rFonts w:ascii="Calibri" w:hAnsi="Calibri"/>
        </w:rPr>
        <w:t xml:space="preserve"> Solutions</w:t>
      </w:r>
    </w:p>
    <w:p w14:paraId="333E0AFD" w14:textId="77777777" w:rsidR="00167965" w:rsidRDefault="00167965" w:rsidP="00915D0F">
      <w:pPr>
        <w:rPr>
          <w:rFonts w:ascii="Calibri" w:hAnsi="Calibri" w:cs="Calibri"/>
        </w:rPr>
      </w:pPr>
    </w:p>
    <w:p w14:paraId="04FD646B" w14:textId="05AE6D27" w:rsidR="00167965" w:rsidRDefault="00167965" w:rsidP="00915D0F">
      <w:pPr>
        <w:rPr>
          <w:rFonts w:ascii="Calibri" w:hAnsi="Calibri" w:cs="Calibri"/>
        </w:rPr>
      </w:pPr>
      <w:r>
        <w:rPr>
          <w:rFonts w:ascii="Calibri" w:hAnsi="Calibri"/>
        </w:rPr>
        <w:t xml:space="preserve">Légende 5 : </w:t>
      </w:r>
      <w:proofErr w:type="spellStart"/>
      <w:r>
        <w:rPr>
          <w:rFonts w:ascii="Calibri" w:hAnsi="Calibri"/>
        </w:rPr>
        <w:t>Nießing</w:t>
      </w:r>
      <w:proofErr w:type="spellEnd"/>
      <w:r>
        <w:rPr>
          <w:rFonts w:ascii="Calibri" w:hAnsi="Calibri"/>
        </w:rPr>
        <w:t xml:space="preserve"> fabrique souvent des portes coulissantes à galandage toute hauteur jusqu’au plafond et utilise pour cela la variante Pocket de la ferrure Hawa Junior 100. Photos : Portes </w:t>
      </w:r>
      <w:proofErr w:type="spellStart"/>
      <w:r>
        <w:rPr>
          <w:rFonts w:ascii="Calibri" w:hAnsi="Calibri"/>
        </w:rPr>
        <w:t>Nießing</w:t>
      </w:r>
      <w:proofErr w:type="spellEnd"/>
    </w:p>
    <w:p w14:paraId="2700710D" w14:textId="1ACE5903" w:rsidR="00116BDF" w:rsidRDefault="00116BDF" w:rsidP="00915D0F">
      <w:pPr>
        <w:rPr>
          <w:rFonts w:ascii="Calibri" w:hAnsi="Calibri" w:cs="Calibri"/>
        </w:rPr>
      </w:pPr>
    </w:p>
    <w:p w14:paraId="0967A100" w14:textId="1D82A588" w:rsidR="00FF0154" w:rsidRPr="00F25502" w:rsidRDefault="00FF0154" w:rsidP="00915D0F">
      <w:pPr>
        <w:rPr>
          <w:rFonts w:ascii="Calibri" w:hAnsi="Calibri" w:cs="Calibri"/>
        </w:rPr>
      </w:pPr>
      <w:r>
        <w:rPr>
          <w:rFonts w:ascii="Calibri" w:hAnsi="Calibri"/>
        </w:rPr>
        <w:t xml:space="preserve">Légende 6 : Exemple d’une solution pour portes coulissantes à deux vantaux se déplaçant devant une paroi en verre, réalisée avec </w:t>
      </w:r>
      <w:proofErr w:type="gramStart"/>
      <w:r>
        <w:rPr>
          <w:rFonts w:ascii="Calibri" w:hAnsi="Calibri"/>
        </w:rPr>
        <w:t>le ferrure</w:t>
      </w:r>
      <w:proofErr w:type="gramEnd"/>
      <w:r>
        <w:rPr>
          <w:rFonts w:ascii="Calibri" w:hAnsi="Calibri"/>
        </w:rPr>
        <w:t xml:space="preserve"> Hawa Junior 100. Photo : Portes </w:t>
      </w:r>
      <w:proofErr w:type="spellStart"/>
      <w:r>
        <w:rPr>
          <w:rFonts w:ascii="Calibri" w:hAnsi="Calibri"/>
        </w:rPr>
        <w:t>Nießing</w:t>
      </w:r>
      <w:proofErr w:type="spellEnd"/>
    </w:p>
    <w:sectPr w:rsidR="00FF0154" w:rsidRPr="00F25502" w:rsidSect="00DD0F27">
      <w:headerReference w:type="default" r:id="rId7"/>
      <w:pgSz w:w="11906" w:h="16838" w:code="9"/>
      <w:pgMar w:top="2835" w:right="3402"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E6D16" w14:textId="77777777" w:rsidR="00433D7D" w:rsidRDefault="00433D7D" w:rsidP="00E022FB">
      <w:r>
        <w:separator/>
      </w:r>
    </w:p>
  </w:endnote>
  <w:endnote w:type="continuationSeparator" w:id="0">
    <w:p w14:paraId="6196594B" w14:textId="77777777" w:rsidR="00433D7D" w:rsidRDefault="00433D7D" w:rsidP="00E02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CB983" w14:textId="77777777" w:rsidR="00433D7D" w:rsidRDefault="00433D7D" w:rsidP="00E022FB">
      <w:r>
        <w:separator/>
      </w:r>
    </w:p>
  </w:footnote>
  <w:footnote w:type="continuationSeparator" w:id="0">
    <w:p w14:paraId="631C5CAB" w14:textId="77777777" w:rsidR="00433D7D" w:rsidRDefault="00433D7D" w:rsidP="00E02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0297F" w14:textId="5D9FF793" w:rsidR="00E022FB" w:rsidRPr="00E022FB" w:rsidRDefault="00E022FB" w:rsidP="00E022FB">
    <w:pPr>
      <w:pStyle w:val="Kopfzeile"/>
      <w:jc w:val="right"/>
      <w:rPr>
        <w:rFonts w:ascii="Calibri" w:hAnsi="Calibri" w:cs="Calibri"/>
        <w:sz w:val="20"/>
        <w:szCs w:val="20"/>
      </w:rPr>
    </w:pPr>
    <w:r w:rsidRPr="00E022FB">
      <w:rPr>
        <w:rFonts w:ascii="Calibri" w:hAnsi="Calibri" w:cs="Calibri"/>
        <w:sz w:val="20"/>
        <w:szCs w:val="20"/>
      </w:rPr>
      <w:t>PR no. 10028-0036-07/202</w:t>
    </w:r>
    <w:r>
      <w:rPr>
        <w:rFonts w:ascii="Calibri" w:hAnsi="Calibri" w:cs="Calibri"/>
        <w:sz w:val="20"/>
        <w:szCs w:val="20"/>
      </w:rPr>
      <w:t>6</w:t>
    </w:r>
  </w:p>
  <w:p w14:paraId="6EE4D908" w14:textId="77777777" w:rsidR="00E022FB" w:rsidRPr="00E022FB" w:rsidRDefault="00E022FB" w:rsidP="00E022FB">
    <w:pPr>
      <w:pStyle w:val="Kopfzeile"/>
      <w:jc w:val="right"/>
      <w:rPr>
        <w:rFonts w:ascii="Calibri" w:hAnsi="Calibri" w:cs="Calibri"/>
        <w:sz w:val="20"/>
        <w:szCs w:val="20"/>
      </w:rPr>
    </w:pPr>
    <w:r w:rsidRPr="00E022FB">
      <w:rPr>
        <w:rFonts w:ascii="Calibri" w:hAnsi="Calibri" w:cs="Calibri"/>
        <w:sz w:val="20"/>
        <w:szCs w:val="20"/>
      </w:rPr>
      <w:t xml:space="preserve">Maîtrise des espaces et des cloisons </w:t>
    </w:r>
  </w:p>
  <w:p w14:paraId="1A2E145D" w14:textId="0F256091" w:rsidR="00E022FB" w:rsidRPr="00E022FB" w:rsidRDefault="00E022FB" w:rsidP="00E022FB">
    <w:pPr>
      <w:pStyle w:val="Kopfzeile"/>
      <w:jc w:val="right"/>
      <w:rPr>
        <w:rFonts w:ascii="Calibri" w:hAnsi="Calibri" w:cs="Calibri"/>
        <w:sz w:val="20"/>
        <w:szCs w:val="20"/>
      </w:rPr>
    </w:pPr>
    <w:r w:rsidRPr="00E022FB">
      <w:rPr>
        <w:rFonts w:ascii="Calibri" w:hAnsi="Calibri" w:cs="Calibri"/>
        <w:sz w:val="20"/>
        <w:szCs w:val="20"/>
      </w:rPr>
      <w:t>Les multiples talents d’un système de ferrures coulissantes</w:t>
    </w:r>
    <w:r>
      <w:rPr>
        <w:rFonts w:ascii="Calibri" w:hAnsi="Calibri" w:cs="Calibri"/>
        <w:sz w:val="20"/>
        <w:szCs w:val="20"/>
      </w:rPr>
      <w:t xml:space="preserve"> – page </w:t>
    </w:r>
    <w:r w:rsidRPr="00E022FB">
      <w:rPr>
        <w:rFonts w:ascii="Calibri" w:hAnsi="Calibri" w:cs="Calibri"/>
        <w:sz w:val="20"/>
        <w:szCs w:val="20"/>
      </w:rPr>
      <w:fldChar w:fldCharType="begin"/>
    </w:r>
    <w:r w:rsidRPr="00E022FB">
      <w:rPr>
        <w:rFonts w:ascii="Calibri" w:hAnsi="Calibri" w:cs="Calibri"/>
        <w:sz w:val="20"/>
        <w:szCs w:val="20"/>
      </w:rPr>
      <w:instrText>PAGE   \* MERGEFORMAT</w:instrText>
    </w:r>
    <w:r w:rsidRPr="00E022FB">
      <w:rPr>
        <w:rFonts w:ascii="Calibri" w:hAnsi="Calibri" w:cs="Calibri"/>
        <w:sz w:val="20"/>
        <w:szCs w:val="20"/>
      </w:rPr>
      <w:fldChar w:fldCharType="separate"/>
    </w:r>
    <w:r w:rsidRPr="00E022FB">
      <w:rPr>
        <w:rFonts w:ascii="Calibri" w:hAnsi="Calibri" w:cs="Calibri"/>
        <w:sz w:val="20"/>
        <w:szCs w:val="20"/>
        <w:lang w:val="en-GB"/>
      </w:rPr>
      <w:t>1</w:t>
    </w:r>
    <w:r w:rsidRPr="00E022FB">
      <w:rPr>
        <w:rFonts w:ascii="Calibri" w:hAnsi="Calibri" w:cs="Calibri"/>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93287"/>
    <w:multiLevelType w:val="hybridMultilevel"/>
    <w:tmpl w:val="47A88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77713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DF"/>
    <w:rsid w:val="000112E2"/>
    <w:rsid w:val="000137A5"/>
    <w:rsid w:val="0002045A"/>
    <w:rsid w:val="0004694B"/>
    <w:rsid w:val="00072EF3"/>
    <w:rsid w:val="00073158"/>
    <w:rsid w:val="000869FF"/>
    <w:rsid w:val="00087EBA"/>
    <w:rsid w:val="000A1059"/>
    <w:rsid w:val="000C082F"/>
    <w:rsid w:val="000C10B2"/>
    <w:rsid w:val="000F3255"/>
    <w:rsid w:val="001151DF"/>
    <w:rsid w:val="00116BDF"/>
    <w:rsid w:val="0012173C"/>
    <w:rsid w:val="00130FF9"/>
    <w:rsid w:val="00167965"/>
    <w:rsid w:val="001779C0"/>
    <w:rsid w:val="001830C1"/>
    <w:rsid w:val="00190B02"/>
    <w:rsid w:val="001B77C2"/>
    <w:rsid w:val="002123AB"/>
    <w:rsid w:val="00214F97"/>
    <w:rsid w:val="00227D35"/>
    <w:rsid w:val="0024117B"/>
    <w:rsid w:val="00256F89"/>
    <w:rsid w:val="0025719B"/>
    <w:rsid w:val="002A4332"/>
    <w:rsid w:val="002C0EE8"/>
    <w:rsid w:val="002E34FE"/>
    <w:rsid w:val="00313C80"/>
    <w:rsid w:val="00351D47"/>
    <w:rsid w:val="0036058C"/>
    <w:rsid w:val="00386509"/>
    <w:rsid w:val="003B1402"/>
    <w:rsid w:val="003C1D7F"/>
    <w:rsid w:val="003C59CD"/>
    <w:rsid w:val="003E19D3"/>
    <w:rsid w:val="003F19C0"/>
    <w:rsid w:val="0040604C"/>
    <w:rsid w:val="00433D7D"/>
    <w:rsid w:val="00450300"/>
    <w:rsid w:val="00490B19"/>
    <w:rsid w:val="00491BD3"/>
    <w:rsid w:val="004A0A8B"/>
    <w:rsid w:val="004C2B32"/>
    <w:rsid w:val="004E6B09"/>
    <w:rsid w:val="005149E0"/>
    <w:rsid w:val="0051520C"/>
    <w:rsid w:val="005202C5"/>
    <w:rsid w:val="005532CE"/>
    <w:rsid w:val="005668AF"/>
    <w:rsid w:val="00580569"/>
    <w:rsid w:val="0058517E"/>
    <w:rsid w:val="005D087F"/>
    <w:rsid w:val="005E206A"/>
    <w:rsid w:val="0061596F"/>
    <w:rsid w:val="00621ED6"/>
    <w:rsid w:val="00631FA3"/>
    <w:rsid w:val="00651994"/>
    <w:rsid w:val="00651BE2"/>
    <w:rsid w:val="00653146"/>
    <w:rsid w:val="006533FB"/>
    <w:rsid w:val="006622DE"/>
    <w:rsid w:val="00687FCA"/>
    <w:rsid w:val="006A2E0F"/>
    <w:rsid w:val="006B3F7E"/>
    <w:rsid w:val="006E55CB"/>
    <w:rsid w:val="006F5294"/>
    <w:rsid w:val="007105B1"/>
    <w:rsid w:val="00711AED"/>
    <w:rsid w:val="00725F38"/>
    <w:rsid w:val="007506DD"/>
    <w:rsid w:val="00755B92"/>
    <w:rsid w:val="0079011D"/>
    <w:rsid w:val="007932A3"/>
    <w:rsid w:val="007A2BFA"/>
    <w:rsid w:val="007B2628"/>
    <w:rsid w:val="007B644C"/>
    <w:rsid w:val="007E6FA0"/>
    <w:rsid w:val="007F7251"/>
    <w:rsid w:val="00814653"/>
    <w:rsid w:val="0081742E"/>
    <w:rsid w:val="008366BB"/>
    <w:rsid w:val="0084475E"/>
    <w:rsid w:val="00861BDE"/>
    <w:rsid w:val="008756AB"/>
    <w:rsid w:val="008B1E96"/>
    <w:rsid w:val="008B4736"/>
    <w:rsid w:val="008C1182"/>
    <w:rsid w:val="008D1899"/>
    <w:rsid w:val="008E34BE"/>
    <w:rsid w:val="00915D0F"/>
    <w:rsid w:val="00926E17"/>
    <w:rsid w:val="00974565"/>
    <w:rsid w:val="009B649A"/>
    <w:rsid w:val="00A0128F"/>
    <w:rsid w:val="00A31A58"/>
    <w:rsid w:val="00A32C97"/>
    <w:rsid w:val="00A33760"/>
    <w:rsid w:val="00A37FD8"/>
    <w:rsid w:val="00A47176"/>
    <w:rsid w:val="00A627DF"/>
    <w:rsid w:val="00A86BAA"/>
    <w:rsid w:val="00B83853"/>
    <w:rsid w:val="00BA642B"/>
    <w:rsid w:val="00BB052A"/>
    <w:rsid w:val="00BB5A0E"/>
    <w:rsid w:val="00C665E3"/>
    <w:rsid w:val="00C80F15"/>
    <w:rsid w:val="00C819D4"/>
    <w:rsid w:val="00CB009E"/>
    <w:rsid w:val="00CE0949"/>
    <w:rsid w:val="00D011D1"/>
    <w:rsid w:val="00D56936"/>
    <w:rsid w:val="00D60157"/>
    <w:rsid w:val="00DB493C"/>
    <w:rsid w:val="00DD0F27"/>
    <w:rsid w:val="00DD5AE4"/>
    <w:rsid w:val="00DF0693"/>
    <w:rsid w:val="00E022FB"/>
    <w:rsid w:val="00E30C0C"/>
    <w:rsid w:val="00E52293"/>
    <w:rsid w:val="00E564A7"/>
    <w:rsid w:val="00E65273"/>
    <w:rsid w:val="00E714DF"/>
    <w:rsid w:val="00E7662C"/>
    <w:rsid w:val="00E81127"/>
    <w:rsid w:val="00EC6CC7"/>
    <w:rsid w:val="00EF1FB5"/>
    <w:rsid w:val="00F04B6D"/>
    <w:rsid w:val="00F13C43"/>
    <w:rsid w:val="00F25502"/>
    <w:rsid w:val="00F37E73"/>
    <w:rsid w:val="00F5259D"/>
    <w:rsid w:val="00F734E5"/>
    <w:rsid w:val="00F929B4"/>
    <w:rsid w:val="00FA7136"/>
    <w:rsid w:val="00FE4244"/>
    <w:rsid w:val="00FF015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36824"/>
  <w15:chartTrackingRefBased/>
  <w15:docId w15:val="{2C601674-9D47-439B-B87B-475E5D5F0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714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714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714D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714D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714D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714DF"/>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714DF"/>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714DF"/>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714DF"/>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714D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714D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714D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714D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714D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714D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714D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714D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714DF"/>
    <w:rPr>
      <w:rFonts w:eastAsiaTheme="majorEastAsia" w:cstheme="majorBidi"/>
      <w:color w:val="272727" w:themeColor="text1" w:themeTint="D8"/>
    </w:rPr>
  </w:style>
  <w:style w:type="paragraph" w:styleId="Titel">
    <w:name w:val="Title"/>
    <w:basedOn w:val="Standard"/>
    <w:next w:val="Standard"/>
    <w:link w:val="TitelZchn"/>
    <w:uiPriority w:val="10"/>
    <w:qFormat/>
    <w:rsid w:val="00E714D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714D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714DF"/>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714D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714DF"/>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714DF"/>
    <w:rPr>
      <w:i/>
      <w:iCs/>
      <w:color w:val="404040" w:themeColor="text1" w:themeTint="BF"/>
    </w:rPr>
  </w:style>
  <w:style w:type="paragraph" w:styleId="Listenabsatz">
    <w:name w:val="List Paragraph"/>
    <w:basedOn w:val="Standard"/>
    <w:uiPriority w:val="34"/>
    <w:qFormat/>
    <w:rsid w:val="00E714DF"/>
    <w:pPr>
      <w:ind w:left="720"/>
      <w:contextualSpacing/>
    </w:pPr>
  </w:style>
  <w:style w:type="character" w:styleId="IntensiveHervorhebung">
    <w:name w:val="Intense Emphasis"/>
    <w:basedOn w:val="Absatz-Standardschriftart"/>
    <w:uiPriority w:val="21"/>
    <w:qFormat/>
    <w:rsid w:val="00E714DF"/>
    <w:rPr>
      <w:i/>
      <w:iCs/>
      <w:color w:val="0F4761" w:themeColor="accent1" w:themeShade="BF"/>
    </w:rPr>
  </w:style>
  <w:style w:type="paragraph" w:styleId="IntensivesZitat">
    <w:name w:val="Intense Quote"/>
    <w:basedOn w:val="Standard"/>
    <w:next w:val="Standard"/>
    <w:link w:val="IntensivesZitatZchn"/>
    <w:uiPriority w:val="30"/>
    <w:qFormat/>
    <w:rsid w:val="00E714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714DF"/>
    <w:rPr>
      <w:i/>
      <w:iCs/>
      <w:color w:val="0F4761" w:themeColor="accent1" w:themeShade="BF"/>
    </w:rPr>
  </w:style>
  <w:style w:type="character" w:styleId="IntensiverVerweis">
    <w:name w:val="Intense Reference"/>
    <w:basedOn w:val="Absatz-Standardschriftart"/>
    <w:uiPriority w:val="32"/>
    <w:qFormat/>
    <w:rsid w:val="00E714DF"/>
    <w:rPr>
      <w:b/>
      <w:bCs/>
      <w:smallCaps/>
      <w:color w:val="0F4761" w:themeColor="accent1" w:themeShade="BF"/>
      <w:spacing w:val="5"/>
    </w:rPr>
  </w:style>
  <w:style w:type="paragraph" w:styleId="Kopfzeile">
    <w:name w:val="header"/>
    <w:basedOn w:val="Standard"/>
    <w:link w:val="KopfzeileZchn"/>
    <w:uiPriority w:val="99"/>
    <w:unhideWhenUsed/>
    <w:rsid w:val="00E022FB"/>
    <w:pPr>
      <w:tabs>
        <w:tab w:val="center" w:pos="4536"/>
        <w:tab w:val="right" w:pos="9072"/>
      </w:tabs>
    </w:pPr>
  </w:style>
  <w:style w:type="character" w:customStyle="1" w:styleId="KopfzeileZchn">
    <w:name w:val="Kopfzeile Zchn"/>
    <w:basedOn w:val="Absatz-Standardschriftart"/>
    <w:link w:val="Kopfzeile"/>
    <w:uiPriority w:val="99"/>
    <w:rsid w:val="00E022FB"/>
  </w:style>
  <w:style w:type="paragraph" w:styleId="Fuzeile">
    <w:name w:val="footer"/>
    <w:basedOn w:val="Standard"/>
    <w:link w:val="FuzeileZchn"/>
    <w:uiPriority w:val="99"/>
    <w:unhideWhenUsed/>
    <w:rsid w:val="00E022FB"/>
    <w:pPr>
      <w:tabs>
        <w:tab w:val="center" w:pos="4536"/>
        <w:tab w:val="right" w:pos="9072"/>
      </w:tabs>
    </w:pPr>
  </w:style>
  <w:style w:type="character" w:customStyle="1" w:styleId="FuzeileZchn">
    <w:name w:val="Fußzeile Zchn"/>
    <w:basedOn w:val="Absatz-Standardschriftart"/>
    <w:link w:val="Fuzeile"/>
    <w:uiPriority w:val="99"/>
    <w:rsid w:val="00E02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1155</Words>
  <Characters>6379</Characters>
  <Application>Microsoft Office Word</Application>
  <DocSecurity>0</DocSecurity>
  <Lines>141</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Hannemann</dc:creator>
  <cp:keywords/>
  <dc:description/>
  <cp:lastModifiedBy>Bianca Hannemann</cp:lastModifiedBy>
  <cp:revision>2</cp:revision>
  <cp:lastPrinted>2026-04-15T16:10:00Z</cp:lastPrinted>
  <dcterms:created xsi:type="dcterms:W3CDTF">2026-07-30T15:44:00Z</dcterms:created>
  <dcterms:modified xsi:type="dcterms:W3CDTF">2026-07-30T15:44:00Z</dcterms:modified>
</cp:coreProperties>
</file>