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21471" w14:textId="77777777" w:rsidR="006413A6" w:rsidRPr="006413A6" w:rsidRDefault="006413A6">
      <w:pPr>
        <w:rPr>
          <w:rFonts w:ascii="Calibri" w:hAnsi="Calibri"/>
          <w:bCs/>
          <w:sz w:val="20"/>
          <w:szCs w:val="20"/>
        </w:rPr>
      </w:pPr>
      <w:r w:rsidRPr="006413A6">
        <w:rPr>
          <w:rFonts w:ascii="Calibri" w:hAnsi="Calibri"/>
          <w:bCs/>
          <w:sz w:val="20"/>
          <w:szCs w:val="20"/>
        </w:rPr>
        <w:t>PR no. 10028-0037-08/2026</w:t>
      </w:r>
    </w:p>
    <w:p w14:paraId="486CF1CB" w14:textId="77777777" w:rsidR="006413A6" w:rsidRDefault="006413A6">
      <w:pPr>
        <w:rPr>
          <w:rFonts w:ascii="Calibri" w:hAnsi="Calibri"/>
          <w:b/>
          <w:sz w:val="28"/>
        </w:rPr>
      </w:pPr>
    </w:p>
    <w:p w14:paraId="55A4ECB7" w14:textId="3566EBB3" w:rsidR="00526BD1" w:rsidRPr="00DB7520" w:rsidRDefault="00526BD1">
      <w:pPr>
        <w:rPr>
          <w:rFonts w:ascii="Calibri" w:hAnsi="Calibri" w:cs="Calibri"/>
          <w:b/>
          <w:bCs/>
          <w:sz w:val="28"/>
          <w:szCs w:val="28"/>
        </w:rPr>
      </w:pPr>
      <w:r>
        <w:rPr>
          <w:rFonts w:ascii="Calibri" w:hAnsi="Calibri"/>
          <w:b/>
          <w:sz w:val="28"/>
        </w:rPr>
        <w:t>Un espace de jeu et de rangement réunis avec élégance</w:t>
      </w:r>
    </w:p>
    <w:p w14:paraId="445BE276" w14:textId="28CE1FA1" w:rsidR="00526BD1" w:rsidRPr="00DB7520" w:rsidRDefault="00A05F28">
      <w:pPr>
        <w:rPr>
          <w:rFonts w:ascii="Calibri" w:hAnsi="Calibri" w:cs="Calibri"/>
          <w:b/>
          <w:bCs/>
        </w:rPr>
      </w:pPr>
      <w:r>
        <w:rPr>
          <w:rFonts w:ascii="Calibri" w:hAnsi="Calibri"/>
          <w:b/>
        </w:rPr>
        <w:t>Optimisation de l’espace grâce à des systèmes de ferrures Pocket dans une garderie centenaire</w:t>
      </w:r>
    </w:p>
    <w:p w14:paraId="1B7C81CD" w14:textId="77777777" w:rsidR="00526BD1" w:rsidRPr="00DB7520" w:rsidRDefault="00526BD1">
      <w:pPr>
        <w:rPr>
          <w:rFonts w:ascii="Calibri" w:hAnsi="Calibri" w:cs="Calibri"/>
        </w:rPr>
      </w:pPr>
    </w:p>
    <w:p w14:paraId="3C8E5665" w14:textId="56DBE07B" w:rsidR="00E32574" w:rsidRPr="00DB7520" w:rsidRDefault="00E20081" w:rsidP="006413A6">
      <w:pPr>
        <w:spacing w:line="274" w:lineRule="auto"/>
        <w:rPr>
          <w:rFonts w:ascii="Calibri" w:hAnsi="Calibri" w:cs="Calibri"/>
          <w:b/>
          <w:bCs/>
        </w:rPr>
      </w:pPr>
      <w:r>
        <w:rPr>
          <w:rFonts w:ascii="Calibri" w:hAnsi="Calibri"/>
          <w:b/>
        </w:rPr>
        <w:t xml:space="preserve">L’architecte Jakob Stamm souhaitait que les villas, les immeubles d’habitation et les bâtiments commerciaux qu’il a conçus entre 1890 et 1915 dans la vieille ville de Schaffhouse respectent le style régional. Même 120 ans plus tard, un bâtiment classé monument historique situé </w:t>
      </w:r>
      <w:proofErr w:type="spellStart"/>
      <w:r>
        <w:rPr>
          <w:rFonts w:ascii="Calibri" w:hAnsi="Calibri"/>
          <w:b/>
        </w:rPr>
        <w:t>Nelkenstraße</w:t>
      </w:r>
      <w:proofErr w:type="spellEnd"/>
      <w:r>
        <w:rPr>
          <w:rFonts w:ascii="Calibri" w:hAnsi="Calibri"/>
          <w:b/>
        </w:rPr>
        <w:t xml:space="preserve">, qui servait déjà de garderie à l’époque, témoigne encore de son style architectural. En 2024, le cabinet </w:t>
      </w:r>
      <w:proofErr w:type="spellStart"/>
      <w:r>
        <w:rPr>
          <w:rFonts w:ascii="Calibri" w:hAnsi="Calibri"/>
          <w:b/>
        </w:rPr>
        <w:t>Nolè</w:t>
      </w:r>
      <w:proofErr w:type="spellEnd"/>
      <w:r>
        <w:rPr>
          <w:rFonts w:ascii="Calibri" w:hAnsi="Calibri"/>
          <w:b/>
        </w:rPr>
        <w:t xml:space="preserve"> - Schneeberger </w:t>
      </w:r>
      <w:proofErr w:type="spellStart"/>
      <w:r>
        <w:rPr>
          <w:rFonts w:ascii="Calibri" w:hAnsi="Calibri"/>
          <w:b/>
        </w:rPr>
        <w:t>Architekten</w:t>
      </w:r>
      <w:proofErr w:type="spellEnd"/>
      <w:r>
        <w:rPr>
          <w:rFonts w:ascii="Calibri" w:hAnsi="Calibri"/>
          <w:b/>
        </w:rPr>
        <w:t xml:space="preserve"> a effectué une rénovation complète de la villa selon les normes </w:t>
      </w:r>
      <w:proofErr w:type="spellStart"/>
      <w:r>
        <w:rPr>
          <w:rFonts w:ascii="Calibri" w:hAnsi="Calibri"/>
          <w:b/>
        </w:rPr>
        <w:t>Minergie</w:t>
      </w:r>
      <w:proofErr w:type="spellEnd"/>
      <w:r>
        <w:rPr>
          <w:rFonts w:ascii="Calibri" w:hAnsi="Calibri"/>
          <w:b/>
        </w:rPr>
        <w:t xml:space="preserve"> et </w:t>
      </w:r>
      <w:proofErr w:type="spellStart"/>
      <w:r>
        <w:rPr>
          <w:rFonts w:ascii="Calibri" w:hAnsi="Calibri"/>
          <w:b/>
        </w:rPr>
        <w:t>Ecobau</w:t>
      </w:r>
      <w:proofErr w:type="spellEnd"/>
      <w:r>
        <w:rPr>
          <w:rFonts w:ascii="Calibri" w:hAnsi="Calibri"/>
          <w:b/>
        </w:rPr>
        <w:t xml:space="preserve">. Une grande liberté de mouvement, indispensable au concept de garderie inclusive, est assurée par les systèmes de ferrures Pocket de Hawa. </w:t>
      </w:r>
    </w:p>
    <w:p w14:paraId="11303B52" w14:textId="77777777" w:rsidR="00417258" w:rsidRPr="00DB7520" w:rsidRDefault="00417258" w:rsidP="006413A6">
      <w:pPr>
        <w:spacing w:line="274" w:lineRule="auto"/>
        <w:rPr>
          <w:rFonts w:ascii="Calibri" w:hAnsi="Calibri" w:cs="Calibri"/>
        </w:rPr>
      </w:pPr>
    </w:p>
    <w:p w14:paraId="4C7893BA" w14:textId="6CA2A113" w:rsidR="009528BF" w:rsidRPr="00DB7520" w:rsidRDefault="009528BF" w:rsidP="006413A6">
      <w:pPr>
        <w:spacing w:line="274" w:lineRule="auto"/>
        <w:rPr>
          <w:rFonts w:ascii="Calibri" w:hAnsi="Calibri" w:cs="Calibri"/>
        </w:rPr>
      </w:pPr>
      <w:r>
        <w:rPr>
          <w:rFonts w:ascii="Calibri" w:hAnsi="Calibri"/>
        </w:rPr>
        <w:t xml:space="preserve">La garderie située </w:t>
      </w:r>
      <w:proofErr w:type="spellStart"/>
      <w:r>
        <w:rPr>
          <w:rFonts w:ascii="Calibri" w:hAnsi="Calibri"/>
        </w:rPr>
        <w:t>Nelkenstraße</w:t>
      </w:r>
      <w:proofErr w:type="spellEnd"/>
      <w:r>
        <w:rPr>
          <w:rFonts w:ascii="Calibri" w:hAnsi="Calibri"/>
        </w:rPr>
        <w:t xml:space="preserve"> à Schaffhouse fait partie des monuments culturels de la ville à sauvegarder. Ce bâtiment historique doit son cachet caractéristique à son architecte, Jakob Stamm, qui a créé des ouvrages vivants tout en s’éloignant délibérément de la symétrie des styles précédents. Ses villas, aux toitures complexes, aux pignons marqués, aux lucarnes et aux larges avant-toits, s’intègrent harmonieusement à la topographie de Schaffhouse. Les géométries asymétriques ou finement divisées des fenêtres rythment la façade.</w:t>
      </w:r>
      <w:r>
        <w:rPr>
          <w:rFonts w:ascii="Calibri" w:hAnsi="Calibri"/>
        </w:rPr>
        <w:br/>
        <w:t xml:space="preserve"> </w:t>
      </w:r>
    </w:p>
    <w:p w14:paraId="11862BF8" w14:textId="44DF1213" w:rsidR="005346C0" w:rsidRPr="00DB7520" w:rsidRDefault="006F5946" w:rsidP="006413A6">
      <w:pPr>
        <w:spacing w:line="274" w:lineRule="auto"/>
        <w:rPr>
          <w:rFonts w:ascii="Calibri" w:hAnsi="Calibri" w:cs="Calibri"/>
          <w:b/>
          <w:bCs/>
        </w:rPr>
      </w:pPr>
      <w:r>
        <w:rPr>
          <w:rFonts w:ascii="Calibri" w:hAnsi="Calibri"/>
          <w:b/>
        </w:rPr>
        <w:t>Multifonctionnalité et flexibilité</w:t>
      </w:r>
    </w:p>
    <w:p w14:paraId="0711A1F5" w14:textId="77777777" w:rsidR="005346C0" w:rsidRPr="00DB7520" w:rsidRDefault="005346C0" w:rsidP="006413A6">
      <w:pPr>
        <w:spacing w:line="274" w:lineRule="auto"/>
        <w:rPr>
          <w:rFonts w:ascii="Calibri" w:hAnsi="Calibri" w:cs="Calibri"/>
        </w:rPr>
      </w:pPr>
    </w:p>
    <w:p w14:paraId="3F6A4424" w14:textId="0A699A50" w:rsidR="00C33351" w:rsidRPr="00DB7520" w:rsidRDefault="005346C0" w:rsidP="006413A6">
      <w:pPr>
        <w:spacing w:line="274" w:lineRule="auto"/>
        <w:rPr>
          <w:rFonts w:ascii="Calibri" w:hAnsi="Calibri" w:cs="Calibri"/>
        </w:rPr>
      </w:pPr>
      <w:r>
        <w:rPr>
          <w:rFonts w:ascii="Calibri" w:hAnsi="Calibri"/>
        </w:rPr>
        <w:t>Tout en respectant l’existant historique, les architectes ont cherché une solution permettant d’exploiter au mieux l’espace disponible à l’intérieur du bâtiment. D’une part, le personnel avait besoin d’espace pour ranger et disposer les jouets, le matériel pédagogique et une kitchenette. D’autre part, il fallait répondre à l’envie de jouer des enfants et leur offrir une liberté de mouvement suffisante.</w:t>
      </w:r>
    </w:p>
    <w:p w14:paraId="320CABEE" w14:textId="77777777" w:rsidR="00D70AA9" w:rsidRPr="00DB7520" w:rsidRDefault="00D70AA9" w:rsidP="006413A6">
      <w:pPr>
        <w:spacing w:line="274" w:lineRule="auto"/>
        <w:rPr>
          <w:rFonts w:ascii="Calibri" w:hAnsi="Calibri" w:cs="Calibri"/>
        </w:rPr>
      </w:pPr>
    </w:p>
    <w:p w14:paraId="2D80BA49" w14:textId="77777777" w:rsidR="00B9383B" w:rsidRDefault="00D70AA9" w:rsidP="006413A6">
      <w:pPr>
        <w:spacing w:line="274" w:lineRule="auto"/>
        <w:rPr>
          <w:rFonts w:ascii="Calibri" w:hAnsi="Calibri" w:cs="Calibri"/>
        </w:rPr>
      </w:pPr>
      <w:r>
        <w:rPr>
          <w:rFonts w:ascii="Calibri" w:hAnsi="Calibri"/>
        </w:rPr>
        <w:lastRenderedPageBreak/>
        <w:t xml:space="preserve">Le cabinet </w:t>
      </w:r>
      <w:proofErr w:type="spellStart"/>
      <w:r>
        <w:rPr>
          <w:rFonts w:ascii="Calibri" w:hAnsi="Calibri"/>
        </w:rPr>
        <w:t>Nolè</w:t>
      </w:r>
      <w:proofErr w:type="spellEnd"/>
      <w:r>
        <w:rPr>
          <w:rFonts w:ascii="Calibri" w:hAnsi="Calibri"/>
        </w:rPr>
        <w:t xml:space="preserve"> - Schneeberger </w:t>
      </w:r>
      <w:proofErr w:type="spellStart"/>
      <w:r>
        <w:rPr>
          <w:rFonts w:ascii="Calibri" w:hAnsi="Calibri"/>
        </w:rPr>
        <w:t>Architekten</w:t>
      </w:r>
      <w:proofErr w:type="spellEnd"/>
      <w:r>
        <w:rPr>
          <w:rFonts w:ascii="Calibri" w:hAnsi="Calibri"/>
        </w:rPr>
        <w:t xml:space="preserve"> a complété le mobilier historique par des éléments de rangement discrets en cascade, dont les façades s’ouvrent entièrement et, une fois ouvertes, ne gênent pas le passage mais disparaissent complètement dans un galandage latéral pour économiser de la place. Les ferrures d’escamotage à coulissement-pivotement et à coulissement-repliement de la famille « Hawa Concepta III » sont utilisées à cet effet. Il s’agit d’accéder à tout moment aux jouets et au matériel pédagogique pendant les activités sans restreindre la liberté de mouvement devant l’armoire. </w:t>
      </w:r>
    </w:p>
    <w:p w14:paraId="02EE54CE" w14:textId="77777777" w:rsidR="00B9383B" w:rsidRDefault="00B9383B" w:rsidP="006413A6">
      <w:pPr>
        <w:spacing w:line="274" w:lineRule="auto"/>
        <w:rPr>
          <w:rFonts w:ascii="Calibri" w:hAnsi="Calibri" w:cs="Calibri"/>
        </w:rPr>
      </w:pPr>
    </w:p>
    <w:p w14:paraId="4661581A" w14:textId="708F81FD" w:rsidR="00B9383B" w:rsidRPr="00B9383B" w:rsidRDefault="006106D8" w:rsidP="006413A6">
      <w:pPr>
        <w:spacing w:line="274" w:lineRule="auto"/>
        <w:rPr>
          <w:rFonts w:ascii="Calibri" w:hAnsi="Calibri" w:cs="Calibri"/>
          <w:b/>
          <w:bCs/>
        </w:rPr>
      </w:pPr>
      <w:r>
        <w:rPr>
          <w:rFonts w:ascii="Calibri" w:hAnsi="Calibri"/>
          <w:b/>
        </w:rPr>
        <w:t>La kitchenette comme élément invisible de la pièce</w:t>
      </w:r>
    </w:p>
    <w:p w14:paraId="375FE100" w14:textId="77777777" w:rsidR="00B9383B" w:rsidRDefault="00B9383B" w:rsidP="006413A6">
      <w:pPr>
        <w:spacing w:line="274" w:lineRule="auto"/>
        <w:rPr>
          <w:rFonts w:ascii="Calibri" w:hAnsi="Calibri" w:cs="Calibri"/>
        </w:rPr>
      </w:pPr>
    </w:p>
    <w:p w14:paraId="1C249D7A" w14:textId="4E3BBF3C" w:rsidR="00AD498B" w:rsidRDefault="00CC0A86" w:rsidP="006413A6">
      <w:pPr>
        <w:spacing w:line="274" w:lineRule="auto"/>
        <w:rPr>
          <w:rFonts w:ascii="Calibri" w:hAnsi="Calibri" w:cs="Calibri"/>
        </w:rPr>
      </w:pPr>
      <w:r>
        <w:rPr>
          <w:rFonts w:ascii="Calibri" w:hAnsi="Calibri"/>
        </w:rPr>
        <w:t>Grâce à des systèmes d’armoire intégrés, la cuisine devient elle aussi un espace discret de la pièce : dès que les enfants ont fini de jouer et qu’il est temps de manger, la cuisine s’ouvre en un tournemain pour préparer le repas. Inversement, il est facile de fermer les portes pour former une grande façade de meubles derrière laquelle tout disparaît, bien rangé.</w:t>
      </w:r>
      <w:r>
        <w:t xml:space="preserve"> « </w:t>
      </w:r>
      <w:r>
        <w:rPr>
          <w:rFonts w:ascii="Calibri" w:hAnsi="Calibri"/>
        </w:rPr>
        <w:t>La restauration représente un exemple réussi de symbiose entre patrimoine historique et fonctionnalité moderne », explique Hawa à ce sujet.</w:t>
      </w:r>
    </w:p>
    <w:p w14:paraId="0CE8CFC1" w14:textId="77777777" w:rsidR="007B06A7" w:rsidRDefault="007B06A7" w:rsidP="006413A6">
      <w:pPr>
        <w:spacing w:line="274" w:lineRule="auto"/>
        <w:rPr>
          <w:rFonts w:ascii="Calibri" w:hAnsi="Calibri" w:cs="Calibri"/>
        </w:rPr>
      </w:pPr>
    </w:p>
    <w:p w14:paraId="6F2650C9" w14:textId="0422F192" w:rsidR="007B06A7" w:rsidRDefault="007B06A7" w:rsidP="006413A6">
      <w:pPr>
        <w:spacing w:line="274" w:lineRule="auto"/>
        <w:rPr>
          <w:rFonts w:ascii="Calibri" w:hAnsi="Calibri" w:cs="Calibri"/>
        </w:rPr>
      </w:pPr>
      <w:r>
        <w:rPr>
          <w:rFonts w:ascii="Calibri" w:hAnsi="Calibri"/>
        </w:rPr>
        <w:t xml:space="preserve">Le cabinet </w:t>
      </w:r>
      <w:proofErr w:type="spellStart"/>
      <w:r>
        <w:rPr>
          <w:rFonts w:ascii="Calibri" w:hAnsi="Calibri"/>
        </w:rPr>
        <w:t>Nolè</w:t>
      </w:r>
      <w:proofErr w:type="spellEnd"/>
      <w:r>
        <w:rPr>
          <w:rFonts w:ascii="Calibri" w:hAnsi="Calibri"/>
        </w:rPr>
        <w:t xml:space="preserve"> - Schneeberger </w:t>
      </w:r>
      <w:proofErr w:type="spellStart"/>
      <w:r>
        <w:rPr>
          <w:rFonts w:ascii="Calibri" w:hAnsi="Calibri"/>
        </w:rPr>
        <w:t>Architekten</w:t>
      </w:r>
      <w:proofErr w:type="spellEnd"/>
      <w:r>
        <w:rPr>
          <w:rFonts w:ascii="Calibri" w:hAnsi="Calibri"/>
        </w:rPr>
        <w:t xml:space="preserve"> à propos du projet : « Ce bâtiment classé du début du 20e siècle a été entièrement rénové et rendu plus performant sur le plan énergétique en étroite collaboration avec le maître d’ouvrage, service du patrimoine, les usagers et une équipe de concepteurs spécialisés, et ce dans le respect des normes </w:t>
      </w:r>
      <w:proofErr w:type="spellStart"/>
      <w:r>
        <w:rPr>
          <w:rFonts w:ascii="Calibri" w:hAnsi="Calibri"/>
        </w:rPr>
        <w:t>Minergie</w:t>
      </w:r>
      <w:proofErr w:type="spellEnd"/>
      <w:r>
        <w:rPr>
          <w:rFonts w:ascii="Calibri" w:hAnsi="Calibri"/>
        </w:rPr>
        <w:t xml:space="preserve"> et </w:t>
      </w:r>
      <w:proofErr w:type="spellStart"/>
      <w:r>
        <w:rPr>
          <w:rFonts w:ascii="Calibri" w:hAnsi="Calibri"/>
        </w:rPr>
        <w:t>Ecobau</w:t>
      </w:r>
      <w:proofErr w:type="spellEnd"/>
      <w:r>
        <w:rPr>
          <w:rFonts w:ascii="Calibri" w:hAnsi="Calibri"/>
        </w:rPr>
        <w:t>. Dans le cadre de cette réhabilitation, la garderie double est devenue accessible aux personnes à mobilité réduite.</w:t>
      </w:r>
    </w:p>
    <w:p w14:paraId="1B00779A" w14:textId="77777777" w:rsidR="007B06A7" w:rsidRDefault="007B06A7" w:rsidP="006413A6">
      <w:pPr>
        <w:spacing w:line="274" w:lineRule="auto"/>
        <w:rPr>
          <w:rFonts w:ascii="Calibri" w:hAnsi="Calibri" w:cs="Calibri"/>
        </w:rPr>
      </w:pPr>
    </w:p>
    <w:p w14:paraId="2F69977C" w14:textId="2F683E94" w:rsidR="007B06A7" w:rsidRPr="007B06A7" w:rsidRDefault="007B06A7" w:rsidP="006413A6">
      <w:pPr>
        <w:spacing w:line="274" w:lineRule="auto"/>
        <w:rPr>
          <w:rFonts w:ascii="Calibri" w:hAnsi="Calibri" w:cs="Calibri"/>
        </w:rPr>
      </w:pPr>
      <w:r>
        <w:rPr>
          <w:rFonts w:ascii="Calibri" w:hAnsi="Calibri"/>
        </w:rPr>
        <w:t>Maître d’ouvrage : Ville de Schaffhausen, Suisse, Service de l’urbanisme et du patrimoine et de l’archéologie</w:t>
      </w:r>
    </w:p>
    <w:p w14:paraId="00E53702" w14:textId="71162CDE" w:rsidR="007B06A7" w:rsidRPr="007B06A7" w:rsidRDefault="007B06A7" w:rsidP="006413A6">
      <w:pPr>
        <w:spacing w:line="274" w:lineRule="auto"/>
        <w:rPr>
          <w:rFonts w:ascii="Calibri" w:hAnsi="Calibri" w:cs="Calibri"/>
        </w:rPr>
      </w:pPr>
      <w:r>
        <w:rPr>
          <w:rFonts w:ascii="Calibri" w:hAnsi="Calibri"/>
        </w:rPr>
        <w:t xml:space="preserve">Architecte/Maître d'œuvre de la rénovation : </w:t>
      </w:r>
      <w:proofErr w:type="spellStart"/>
      <w:r>
        <w:rPr>
          <w:rFonts w:ascii="Calibri" w:hAnsi="Calibri"/>
        </w:rPr>
        <w:t>Nolè</w:t>
      </w:r>
      <w:proofErr w:type="spellEnd"/>
      <w:r>
        <w:rPr>
          <w:rFonts w:ascii="Calibri" w:hAnsi="Calibri"/>
        </w:rPr>
        <w:t xml:space="preserve"> - Schneeberger </w:t>
      </w:r>
      <w:proofErr w:type="spellStart"/>
      <w:r>
        <w:rPr>
          <w:rFonts w:ascii="Calibri" w:hAnsi="Calibri"/>
        </w:rPr>
        <w:t>Architekten</w:t>
      </w:r>
      <w:proofErr w:type="spellEnd"/>
      <w:r>
        <w:rPr>
          <w:rFonts w:ascii="Calibri" w:hAnsi="Calibri"/>
        </w:rPr>
        <w:t xml:space="preserve"> &amp; </w:t>
      </w:r>
      <w:proofErr w:type="spellStart"/>
      <w:r>
        <w:rPr>
          <w:rFonts w:ascii="Calibri" w:hAnsi="Calibri"/>
        </w:rPr>
        <w:t>Bewerter</w:t>
      </w:r>
      <w:proofErr w:type="spellEnd"/>
      <w:r>
        <w:rPr>
          <w:rFonts w:ascii="Calibri" w:hAnsi="Calibri"/>
        </w:rPr>
        <w:t xml:space="preserve"> AG, Neuhausen </w:t>
      </w:r>
      <w:proofErr w:type="spellStart"/>
      <w:r>
        <w:rPr>
          <w:rFonts w:ascii="Calibri" w:hAnsi="Calibri"/>
        </w:rPr>
        <w:t>am</w:t>
      </w:r>
      <w:proofErr w:type="spellEnd"/>
      <w:r>
        <w:rPr>
          <w:rFonts w:ascii="Calibri" w:hAnsi="Calibri"/>
        </w:rPr>
        <w:t xml:space="preserve"> </w:t>
      </w:r>
      <w:proofErr w:type="spellStart"/>
      <w:r>
        <w:rPr>
          <w:rFonts w:ascii="Calibri" w:hAnsi="Calibri"/>
        </w:rPr>
        <w:t>Rheinfall</w:t>
      </w:r>
      <w:proofErr w:type="spellEnd"/>
    </w:p>
    <w:p w14:paraId="1EF7B44F" w14:textId="747BFBB9" w:rsidR="007B06A7" w:rsidRPr="00DB7520" w:rsidRDefault="007B06A7" w:rsidP="006413A6">
      <w:pPr>
        <w:spacing w:line="274" w:lineRule="auto"/>
        <w:rPr>
          <w:rFonts w:ascii="Calibri" w:hAnsi="Calibri" w:cs="Calibri"/>
        </w:rPr>
      </w:pPr>
      <w:r>
        <w:rPr>
          <w:rFonts w:ascii="Calibri" w:hAnsi="Calibri"/>
        </w:rPr>
        <w:t xml:space="preserve">Mise en œuvre : Schreinerei </w:t>
      </w:r>
      <w:proofErr w:type="spellStart"/>
      <w:r>
        <w:rPr>
          <w:rFonts w:ascii="Calibri" w:hAnsi="Calibri"/>
        </w:rPr>
        <w:t>Möckli</w:t>
      </w:r>
      <w:proofErr w:type="spellEnd"/>
      <w:r>
        <w:rPr>
          <w:rFonts w:ascii="Calibri" w:hAnsi="Calibri"/>
        </w:rPr>
        <w:t xml:space="preserve"> AG, </w:t>
      </w:r>
      <w:proofErr w:type="spellStart"/>
      <w:r>
        <w:rPr>
          <w:rFonts w:ascii="Calibri" w:hAnsi="Calibri"/>
        </w:rPr>
        <w:t>Schlatt</w:t>
      </w:r>
      <w:proofErr w:type="spellEnd"/>
    </w:p>
    <w:p w14:paraId="43212457" w14:textId="77777777" w:rsidR="00116C1F" w:rsidRPr="00DB7520" w:rsidRDefault="00116C1F" w:rsidP="006413A6">
      <w:pPr>
        <w:spacing w:line="274" w:lineRule="auto"/>
        <w:rPr>
          <w:rFonts w:ascii="Calibri" w:hAnsi="Calibri" w:cs="Calibri"/>
        </w:rPr>
      </w:pPr>
    </w:p>
    <w:p w14:paraId="529D0FEC" w14:textId="77777777" w:rsidR="00116C1F" w:rsidRPr="00DB7520" w:rsidRDefault="00116C1F" w:rsidP="006413A6">
      <w:pPr>
        <w:spacing w:line="274" w:lineRule="auto"/>
        <w:rPr>
          <w:rFonts w:ascii="Calibri" w:hAnsi="Calibri" w:cs="Calibri"/>
        </w:rPr>
      </w:pPr>
    </w:p>
    <w:p w14:paraId="28FA9B22" w14:textId="360A4758" w:rsidR="00116C1F" w:rsidRPr="00DB7520" w:rsidRDefault="00116C1F" w:rsidP="008F5C6D">
      <w:pPr>
        <w:rPr>
          <w:rFonts w:ascii="Calibri" w:hAnsi="Calibri" w:cs="Calibri"/>
          <w:i/>
          <w:iCs/>
          <w:color w:val="C00000"/>
        </w:rPr>
      </w:pPr>
      <w:r>
        <w:rPr>
          <w:rFonts w:ascii="Calibri" w:hAnsi="Calibri"/>
        </w:rPr>
        <w:t xml:space="preserve">Légende 1 : La garderie située </w:t>
      </w:r>
      <w:proofErr w:type="spellStart"/>
      <w:r>
        <w:rPr>
          <w:rFonts w:ascii="Calibri" w:hAnsi="Calibri"/>
        </w:rPr>
        <w:t>Nelkenstraße</w:t>
      </w:r>
      <w:proofErr w:type="spellEnd"/>
      <w:r>
        <w:rPr>
          <w:rFonts w:ascii="Calibri" w:hAnsi="Calibri"/>
        </w:rPr>
        <w:t xml:space="preserve"> à Schaffhouse fait partie des monuments culturels de la ville à sauvegarder. Ce bâtiment historique a obtenu son cachet caractéristique en 1910 grâce à son architecte, Jakob Stamm, qui l’avait déjà conçu à l’époque comme une garderie. Photo : Hawa </w:t>
      </w:r>
      <w:proofErr w:type="spellStart"/>
      <w:r>
        <w:rPr>
          <w:rFonts w:ascii="Calibri" w:hAnsi="Calibri"/>
        </w:rPr>
        <w:t>Sliding</w:t>
      </w:r>
      <w:proofErr w:type="spellEnd"/>
      <w:r>
        <w:rPr>
          <w:rFonts w:ascii="Calibri" w:hAnsi="Calibri"/>
        </w:rPr>
        <w:t xml:space="preserve"> Solutions AG </w:t>
      </w:r>
    </w:p>
    <w:p w14:paraId="4D91E65C" w14:textId="77777777" w:rsidR="009D1A69" w:rsidRPr="00DB7520" w:rsidRDefault="009D1A69" w:rsidP="009D1A69">
      <w:pPr>
        <w:rPr>
          <w:rFonts w:ascii="Calibri" w:hAnsi="Calibri" w:cs="Calibri"/>
          <w:color w:val="EE0000"/>
        </w:rPr>
      </w:pPr>
      <w:r>
        <w:rPr>
          <w:rFonts w:ascii="Calibri" w:hAnsi="Calibri"/>
          <w:color w:val="EE0000"/>
        </w:rPr>
        <w:t>‍</w:t>
      </w:r>
    </w:p>
    <w:p w14:paraId="2B4BE12A" w14:textId="435FD51C" w:rsidR="00CB55B1" w:rsidRPr="00DB7520" w:rsidRDefault="00116C1F" w:rsidP="00526BD1">
      <w:pPr>
        <w:rPr>
          <w:rFonts w:ascii="Calibri" w:hAnsi="Calibri" w:cs="Calibri"/>
        </w:rPr>
      </w:pPr>
      <w:r>
        <w:rPr>
          <w:rFonts w:ascii="Calibri" w:hAnsi="Calibri"/>
        </w:rPr>
        <w:t xml:space="preserve">Légende 2 : Le cabinet </w:t>
      </w:r>
      <w:proofErr w:type="spellStart"/>
      <w:r>
        <w:rPr>
          <w:rFonts w:ascii="Calibri" w:hAnsi="Calibri"/>
        </w:rPr>
        <w:t>Nolè</w:t>
      </w:r>
      <w:proofErr w:type="spellEnd"/>
      <w:r>
        <w:rPr>
          <w:rFonts w:ascii="Calibri" w:hAnsi="Calibri"/>
        </w:rPr>
        <w:t xml:space="preserve"> - Schneeberger </w:t>
      </w:r>
      <w:proofErr w:type="spellStart"/>
      <w:r>
        <w:rPr>
          <w:rFonts w:ascii="Calibri" w:hAnsi="Calibri"/>
        </w:rPr>
        <w:t>Architekten</w:t>
      </w:r>
      <w:proofErr w:type="spellEnd"/>
      <w:r>
        <w:rPr>
          <w:rFonts w:ascii="Calibri" w:hAnsi="Calibri"/>
        </w:rPr>
        <w:t xml:space="preserve"> a complété le mobilier historique par des éléments de rangement discrets, dont les façades s’ouvrent entièrement et, une fois ouvertes, ne gênent pas le passage mais disparaissent complètement dans un galandage latéral pour économiser de la place. Photo : Hawa </w:t>
      </w:r>
      <w:proofErr w:type="spellStart"/>
      <w:r>
        <w:rPr>
          <w:rFonts w:ascii="Calibri" w:hAnsi="Calibri"/>
        </w:rPr>
        <w:t>Sliding</w:t>
      </w:r>
      <w:proofErr w:type="spellEnd"/>
      <w:r>
        <w:rPr>
          <w:rFonts w:ascii="Calibri" w:hAnsi="Calibri"/>
        </w:rPr>
        <w:t xml:space="preserve"> Solutions AG </w:t>
      </w:r>
    </w:p>
    <w:p w14:paraId="7D742BDE" w14:textId="77777777" w:rsidR="00116C1F" w:rsidRPr="00DB7520" w:rsidRDefault="00116C1F" w:rsidP="00526BD1">
      <w:pPr>
        <w:rPr>
          <w:rFonts w:ascii="Calibri" w:hAnsi="Calibri" w:cs="Calibri"/>
        </w:rPr>
      </w:pPr>
    </w:p>
    <w:p w14:paraId="69573667" w14:textId="4E7F5A5A" w:rsidR="00526BD1" w:rsidRPr="00A620C5" w:rsidRDefault="00116C1F" w:rsidP="00526BD1">
      <w:pPr>
        <w:rPr>
          <w:rFonts w:ascii="Calibri" w:hAnsi="Calibri" w:cs="Calibri"/>
        </w:rPr>
      </w:pPr>
      <w:r>
        <w:rPr>
          <w:rFonts w:ascii="Calibri" w:hAnsi="Calibri"/>
        </w:rPr>
        <w:t xml:space="preserve">Légende 3 : Le principe des systèmes de ferrures Pocket permet d’accéder au contenu de manière optimale pendant les activités sans restreindre la liberté de mouvement devant l’armoire. Inversement, il suffit de fermer les portes pour former une grande façade de meubles derrière laquelle tout disparaît, bien rangé. Photo : Hawa </w:t>
      </w:r>
      <w:proofErr w:type="spellStart"/>
      <w:r>
        <w:rPr>
          <w:rFonts w:ascii="Calibri" w:hAnsi="Calibri"/>
        </w:rPr>
        <w:t>Sliding</w:t>
      </w:r>
      <w:proofErr w:type="spellEnd"/>
      <w:r>
        <w:rPr>
          <w:rFonts w:ascii="Calibri" w:hAnsi="Calibri"/>
        </w:rPr>
        <w:t xml:space="preserve"> Solutions AG </w:t>
      </w:r>
    </w:p>
    <w:sectPr w:rsidR="00526BD1" w:rsidRPr="00A620C5" w:rsidSect="009528BF">
      <w:headerReference w:type="default" r:id="rId6"/>
      <w:pgSz w:w="11906" w:h="16838" w:code="9"/>
      <w:pgMar w:top="2835" w:right="3402"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6236C" w14:textId="77777777" w:rsidR="00B23CAA" w:rsidRDefault="00B23CAA" w:rsidP="006413A6">
      <w:r>
        <w:separator/>
      </w:r>
    </w:p>
  </w:endnote>
  <w:endnote w:type="continuationSeparator" w:id="0">
    <w:p w14:paraId="4506E4B7" w14:textId="77777777" w:rsidR="00B23CAA" w:rsidRDefault="00B23CAA" w:rsidP="00641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E40DE" w14:textId="77777777" w:rsidR="00B23CAA" w:rsidRDefault="00B23CAA" w:rsidP="006413A6">
      <w:r>
        <w:separator/>
      </w:r>
    </w:p>
  </w:footnote>
  <w:footnote w:type="continuationSeparator" w:id="0">
    <w:p w14:paraId="7BC1C6E8" w14:textId="77777777" w:rsidR="00B23CAA" w:rsidRDefault="00B23CAA" w:rsidP="006413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2F12F" w14:textId="1EF84112" w:rsidR="006413A6" w:rsidRPr="006413A6" w:rsidRDefault="006413A6" w:rsidP="006413A6">
    <w:pPr>
      <w:pStyle w:val="Kopfzeile"/>
      <w:jc w:val="right"/>
      <w:rPr>
        <w:rFonts w:ascii="Calibri" w:hAnsi="Calibri" w:cs="Calibri"/>
        <w:sz w:val="20"/>
        <w:szCs w:val="20"/>
      </w:rPr>
    </w:pPr>
    <w:r w:rsidRPr="006413A6">
      <w:rPr>
        <w:rFonts w:ascii="Calibri" w:hAnsi="Calibri" w:cs="Calibri"/>
        <w:sz w:val="20"/>
        <w:szCs w:val="20"/>
      </w:rPr>
      <w:t>PR no. 10028-0037-08/2026</w:t>
    </w:r>
  </w:p>
  <w:p w14:paraId="434B7A9B" w14:textId="77777777" w:rsidR="006413A6" w:rsidRPr="006413A6" w:rsidRDefault="006413A6" w:rsidP="006413A6">
    <w:pPr>
      <w:pStyle w:val="Kopfzeile"/>
      <w:jc w:val="right"/>
      <w:rPr>
        <w:rFonts w:ascii="Calibri" w:hAnsi="Calibri" w:cs="Calibri"/>
        <w:sz w:val="20"/>
        <w:szCs w:val="20"/>
      </w:rPr>
    </w:pPr>
    <w:r w:rsidRPr="006413A6">
      <w:rPr>
        <w:rFonts w:ascii="Calibri" w:hAnsi="Calibri" w:cs="Calibri"/>
        <w:sz w:val="20"/>
        <w:szCs w:val="20"/>
      </w:rPr>
      <w:t>Un espace de jeu et de rangement réunis avec élégance</w:t>
    </w:r>
  </w:p>
  <w:p w14:paraId="0B253221" w14:textId="27511AD1" w:rsidR="006413A6" w:rsidRPr="006413A6" w:rsidRDefault="006413A6" w:rsidP="006413A6">
    <w:pPr>
      <w:pStyle w:val="Kopfzeile"/>
      <w:jc w:val="right"/>
      <w:rPr>
        <w:rFonts w:ascii="Calibri" w:hAnsi="Calibri" w:cs="Calibri"/>
        <w:sz w:val="20"/>
        <w:szCs w:val="20"/>
      </w:rPr>
    </w:pPr>
    <w:r w:rsidRPr="006413A6">
      <w:rPr>
        <w:rFonts w:ascii="Calibri" w:hAnsi="Calibri" w:cs="Calibri"/>
        <w:sz w:val="20"/>
        <w:szCs w:val="20"/>
      </w:rPr>
      <w:t>Optimisation de l’espace grâce à des systèmes de ferrures Pocket dans une garderie centenaire</w:t>
    </w:r>
    <w:r>
      <w:rPr>
        <w:rFonts w:ascii="Calibri" w:hAnsi="Calibri" w:cs="Calibri"/>
        <w:sz w:val="20"/>
        <w:szCs w:val="20"/>
      </w:rPr>
      <w:t xml:space="preserve"> – page </w:t>
    </w:r>
    <w:r w:rsidRPr="006413A6">
      <w:rPr>
        <w:rFonts w:ascii="Calibri" w:hAnsi="Calibri" w:cs="Calibri"/>
        <w:sz w:val="20"/>
        <w:szCs w:val="20"/>
      </w:rPr>
      <w:fldChar w:fldCharType="begin"/>
    </w:r>
    <w:r w:rsidRPr="006413A6">
      <w:rPr>
        <w:rFonts w:ascii="Calibri" w:hAnsi="Calibri" w:cs="Calibri"/>
        <w:sz w:val="20"/>
        <w:szCs w:val="20"/>
      </w:rPr>
      <w:instrText>PAGE   \* MERGEFORMAT</w:instrText>
    </w:r>
    <w:r w:rsidRPr="006413A6">
      <w:rPr>
        <w:rFonts w:ascii="Calibri" w:hAnsi="Calibri" w:cs="Calibri"/>
        <w:sz w:val="20"/>
        <w:szCs w:val="20"/>
      </w:rPr>
      <w:fldChar w:fldCharType="separate"/>
    </w:r>
    <w:r w:rsidRPr="006413A6">
      <w:rPr>
        <w:rFonts w:ascii="Calibri" w:hAnsi="Calibri" w:cs="Calibri"/>
        <w:sz w:val="20"/>
        <w:szCs w:val="20"/>
        <w:lang w:val="de-DE"/>
      </w:rPr>
      <w:t>1</w:t>
    </w:r>
    <w:r w:rsidRPr="006413A6">
      <w:rPr>
        <w:rFonts w:ascii="Calibri" w:hAnsi="Calibri" w:cs="Calibri"/>
        <w:sz w:val="20"/>
        <w:szCs w:val="20"/>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081"/>
    <w:rsid w:val="00072B8B"/>
    <w:rsid w:val="000F6AA6"/>
    <w:rsid w:val="00100CAB"/>
    <w:rsid w:val="00107322"/>
    <w:rsid w:val="00116C1F"/>
    <w:rsid w:val="0016778E"/>
    <w:rsid w:val="001C5C0A"/>
    <w:rsid w:val="00206B35"/>
    <w:rsid w:val="002B21B8"/>
    <w:rsid w:val="0033583C"/>
    <w:rsid w:val="00350525"/>
    <w:rsid w:val="0035200C"/>
    <w:rsid w:val="0040270B"/>
    <w:rsid w:val="00417258"/>
    <w:rsid w:val="0045632B"/>
    <w:rsid w:val="00484467"/>
    <w:rsid w:val="004F0BC4"/>
    <w:rsid w:val="004F143C"/>
    <w:rsid w:val="004F331A"/>
    <w:rsid w:val="00526BD1"/>
    <w:rsid w:val="005346C0"/>
    <w:rsid w:val="00596F63"/>
    <w:rsid w:val="005E6BF1"/>
    <w:rsid w:val="005F1268"/>
    <w:rsid w:val="006106D8"/>
    <w:rsid w:val="006413A6"/>
    <w:rsid w:val="00645A67"/>
    <w:rsid w:val="006702DD"/>
    <w:rsid w:val="006951B2"/>
    <w:rsid w:val="006F5946"/>
    <w:rsid w:val="007B06A7"/>
    <w:rsid w:val="007B2628"/>
    <w:rsid w:val="00815B20"/>
    <w:rsid w:val="00861D8D"/>
    <w:rsid w:val="008F5C6D"/>
    <w:rsid w:val="00926C08"/>
    <w:rsid w:val="009528BF"/>
    <w:rsid w:val="0099593B"/>
    <w:rsid w:val="009D1A69"/>
    <w:rsid w:val="00A05F28"/>
    <w:rsid w:val="00A31A58"/>
    <w:rsid w:val="00A620C5"/>
    <w:rsid w:val="00A82121"/>
    <w:rsid w:val="00A90165"/>
    <w:rsid w:val="00AD498B"/>
    <w:rsid w:val="00AF1F7C"/>
    <w:rsid w:val="00B23CAA"/>
    <w:rsid w:val="00B34B08"/>
    <w:rsid w:val="00B9383B"/>
    <w:rsid w:val="00BD018E"/>
    <w:rsid w:val="00C33351"/>
    <w:rsid w:val="00C4048A"/>
    <w:rsid w:val="00C72AAE"/>
    <w:rsid w:val="00CB46F5"/>
    <w:rsid w:val="00CB55B1"/>
    <w:rsid w:val="00CC0A86"/>
    <w:rsid w:val="00D00583"/>
    <w:rsid w:val="00D018B4"/>
    <w:rsid w:val="00D70AA9"/>
    <w:rsid w:val="00DB63D8"/>
    <w:rsid w:val="00DB7520"/>
    <w:rsid w:val="00DD0F27"/>
    <w:rsid w:val="00DD4DA9"/>
    <w:rsid w:val="00DF0DB3"/>
    <w:rsid w:val="00E155F1"/>
    <w:rsid w:val="00E20081"/>
    <w:rsid w:val="00E32574"/>
    <w:rsid w:val="00E52293"/>
    <w:rsid w:val="00E72A7A"/>
    <w:rsid w:val="00E74446"/>
    <w:rsid w:val="00EE17C5"/>
    <w:rsid w:val="00F608AB"/>
    <w:rsid w:val="00F806EA"/>
    <w:rsid w:val="00F929B4"/>
    <w:rsid w:val="00F9673C"/>
    <w:rsid w:val="00FA7136"/>
    <w:rsid w:val="00FC0008"/>
    <w:rsid w:val="00FC4B1F"/>
    <w:rsid w:val="00FE549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44231"/>
  <w15:chartTrackingRefBased/>
  <w15:docId w15:val="{FB02CF65-2A7C-4B1F-8911-149594C91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200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200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2008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2008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2008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20081"/>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20081"/>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20081"/>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20081"/>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20081"/>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2008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2008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2008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2008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2008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2008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2008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20081"/>
    <w:rPr>
      <w:rFonts w:eastAsiaTheme="majorEastAsia" w:cstheme="majorBidi"/>
      <w:color w:val="272727" w:themeColor="text1" w:themeTint="D8"/>
    </w:rPr>
  </w:style>
  <w:style w:type="paragraph" w:styleId="Titel">
    <w:name w:val="Title"/>
    <w:basedOn w:val="Standard"/>
    <w:next w:val="Standard"/>
    <w:link w:val="TitelZchn"/>
    <w:uiPriority w:val="10"/>
    <w:qFormat/>
    <w:rsid w:val="00E20081"/>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2008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20081"/>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2008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20081"/>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20081"/>
    <w:rPr>
      <w:i/>
      <w:iCs/>
      <w:color w:val="404040" w:themeColor="text1" w:themeTint="BF"/>
    </w:rPr>
  </w:style>
  <w:style w:type="paragraph" w:styleId="Listenabsatz">
    <w:name w:val="List Paragraph"/>
    <w:basedOn w:val="Standard"/>
    <w:uiPriority w:val="34"/>
    <w:qFormat/>
    <w:rsid w:val="00E20081"/>
    <w:pPr>
      <w:ind w:left="720"/>
      <w:contextualSpacing/>
    </w:pPr>
  </w:style>
  <w:style w:type="character" w:styleId="IntensiveHervorhebung">
    <w:name w:val="Intense Emphasis"/>
    <w:basedOn w:val="Absatz-Standardschriftart"/>
    <w:uiPriority w:val="21"/>
    <w:qFormat/>
    <w:rsid w:val="00E20081"/>
    <w:rPr>
      <w:i/>
      <w:iCs/>
      <w:color w:val="0F4761" w:themeColor="accent1" w:themeShade="BF"/>
    </w:rPr>
  </w:style>
  <w:style w:type="paragraph" w:styleId="IntensivesZitat">
    <w:name w:val="Intense Quote"/>
    <w:basedOn w:val="Standard"/>
    <w:next w:val="Standard"/>
    <w:link w:val="IntensivesZitatZchn"/>
    <w:uiPriority w:val="30"/>
    <w:qFormat/>
    <w:rsid w:val="00E200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20081"/>
    <w:rPr>
      <w:i/>
      <w:iCs/>
      <w:color w:val="0F4761" w:themeColor="accent1" w:themeShade="BF"/>
    </w:rPr>
  </w:style>
  <w:style w:type="character" w:styleId="IntensiverVerweis">
    <w:name w:val="Intense Reference"/>
    <w:basedOn w:val="Absatz-Standardschriftart"/>
    <w:uiPriority w:val="32"/>
    <w:qFormat/>
    <w:rsid w:val="00E20081"/>
    <w:rPr>
      <w:b/>
      <w:bCs/>
      <w:smallCaps/>
      <w:color w:val="0F4761" w:themeColor="accent1" w:themeShade="BF"/>
      <w:spacing w:val="5"/>
    </w:rPr>
  </w:style>
  <w:style w:type="paragraph" w:styleId="Kopfzeile">
    <w:name w:val="header"/>
    <w:basedOn w:val="Standard"/>
    <w:link w:val="KopfzeileZchn"/>
    <w:uiPriority w:val="99"/>
    <w:unhideWhenUsed/>
    <w:rsid w:val="006413A6"/>
    <w:pPr>
      <w:tabs>
        <w:tab w:val="center" w:pos="4536"/>
        <w:tab w:val="right" w:pos="9072"/>
      </w:tabs>
    </w:pPr>
  </w:style>
  <w:style w:type="character" w:customStyle="1" w:styleId="KopfzeileZchn">
    <w:name w:val="Kopfzeile Zchn"/>
    <w:basedOn w:val="Absatz-Standardschriftart"/>
    <w:link w:val="Kopfzeile"/>
    <w:uiPriority w:val="99"/>
    <w:rsid w:val="006413A6"/>
  </w:style>
  <w:style w:type="paragraph" w:styleId="Fuzeile">
    <w:name w:val="footer"/>
    <w:basedOn w:val="Standard"/>
    <w:link w:val="FuzeileZchn"/>
    <w:uiPriority w:val="99"/>
    <w:unhideWhenUsed/>
    <w:rsid w:val="006413A6"/>
    <w:pPr>
      <w:tabs>
        <w:tab w:val="center" w:pos="4536"/>
        <w:tab w:val="right" w:pos="9072"/>
      </w:tabs>
    </w:pPr>
  </w:style>
  <w:style w:type="character" w:customStyle="1" w:styleId="FuzeileZchn">
    <w:name w:val="Fußzeile Zchn"/>
    <w:basedOn w:val="Absatz-Standardschriftart"/>
    <w:link w:val="Fuzeile"/>
    <w:uiPriority w:val="99"/>
    <w:rsid w:val="00641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648</Words>
  <Characters>4086</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Hannemann</dc:creator>
  <cp:keywords/>
  <dc:description/>
  <cp:lastModifiedBy>Bianca Hannemann</cp:lastModifiedBy>
  <cp:revision>2</cp:revision>
  <dcterms:created xsi:type="dcterms:W3CDTF">2026-08-06T15:01:00Z</dcterms:created>
  <dcterms:modified xsi:type="dcterms:W3CDTF">2026-08-06T15:01:00Z</dcterms:modified>
</cp:coreProperties>
</file>