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AE2F5" w14:textId="0A1A20F4" w:rsidR="00C76EAB" w:rsidRPr="00C76EAB" w:rsidRDefault="00C76EAB">
      <w:pPr>
        <w:rPr>
          <w:rFonts w:ascii="Calibri" w:hAnsi="Calibri" w:cs="Calibri"/>
          <w:sz w:val="20"/>
          <w:szCs w:val="20"/>
        </w:rPr>
      </w:pPr>
      <w:r w:rsidRPr="00C76EAB">
        <w:rPr>
          <w:rFonts w:ascii="Calibri" w:hAnsi="Calibri" w:cs="Calibri"/>
          <w:sz w:val="20"/>
          <w:szCs w:val="20"/>
        </w:rPr>
        <w:t>PR-Nr. 10028-00</w:t>
      </w:r>
      <w:r w:rsidR="00CA7980">
        <w:rPr>
          <w:rFonts w:ascii="Calibri" w:hAnsi="Calibri" w:cs="Calibri"/>
          <w:sz w:val="20"/>
          <w:szCs w:val="20"/>
        </w:rPr>
        <w:t>39</w:t>
      </w:r>
      <w:r w:rsidRPr="00C76EAB">
        <w:rPr>
          <w:rFonts w:ascii="Calibri" w:hAnsi="Calibri" w:cs="Calibri"/>
          <w:sz w:val="20"/>
          <w:szCs w:val="20"/>
        </w:rPr>
        <w:t>-09/2026</w:t>
      </w:r>
    </w:p>
    <w:p w14:paraId="71709C0A" w14:textId="77777777" w:rsidR="00C76EAB" w:rsidRDefault="00C76EAB">
      <w:pPr>
        <w:rPr>
          <w:rFonts w:ascii="Calibri" w:hAnsi="Calibri" w:cs="Calibri"/>
          <w:b/>
          <w:bCs/>
          <w:sz w:val="28"/>
          <w:szCs w:val="28"/>
        </w:rPr>
      </w:pPr>
    </w:p>
    <w:p w14:paraId="76371EF6" w14:textId="41519291" w:rsidR="008A0CB8" w:rsidRDefault="008A0CB8">
      <w:pPr>
        <w:rPr>
          <w:rFonts w:ascii="Calibri" w:hAnsi="Calibri" w:cs="Calibri"/>
          <w:b/>
          <w:bCs/>
          <w:sz w:val="28"/>
          <w:szCs w:val="28"/>
        </w:rPr>
      </w:pPr>
      <w:r>
        <w:rPr>
          <w:rFonts w:ascii="Calibri" w:hAnsi="Calibri" w:cs="Calibri"/>
          <w:b/>
          <w:bCs/>
          <w:sz w:val="28"/>
          <w:szCs w:val="28"/>
        </w:rPr>
        <w:t>Breite Basis für durchgängiges Möbeldesign</w:t>
      </w:r>
    </w:p>
    <w:p w14:paraId="4C740BAA" w14:textId="751D0AE0" w:rsidR="00A339BC" w:rsidRPr="00A339BC" w:rsidRDefault="00A339BC">
      <w:pPr>
        <w:rPr>
          <w:rFonts w:ascii="Calibri" w:hAnsi="Calibri" w:cs="Calibri"/>
          <w:b/>
          <w:bCs/>
        </w:rPr>
      </w:pPr>
      <w:r w:rsidRPr="00A339BC">
        <w:rPr>
          <w:rFonts w:ascii="Calibri" w:hAnsi="Calibri" w:cs="Calibri"/>
          <w:b/>
          <w:bCs/>
        </w:rPr>
        <w:t xml:space="preserve">Die Pocket-Beschlagfamilie von Hawa </w:t>
      </w:r>
      <w:r w:rsidR="00D37DEA">
        <w:rPr>
          <w:rFonts w:ascii="Calibri" w:hAnsi="Calibri" w:cs="Calibri"/>
          <w:b/>
          <w:bCs/>
        </w:rPr>
        <w:t>bekommt Zuwachs</w:t>
      </w:r>
    </w:p>
    <w:p w14:paraId="1D74346D" w14:textId="77777777" w:rsidR="00A339BC" w:rsidRPr="00A339BC" w:rsidRDefault="00A339BC">
      <w:pPr>
        <w:rPr>
          <w:rFonts w:ascii="Calibri" w:hAnsi="Calibri" w:cs="Calibri"/>
        </w:rPr>
      </w:pPr>
    </w:p>
    <w:p w14:paraId="330FB911" w14:textId="2237A53A" w:rsidR="00A5725A" w:rsidRDefault="001D0F0C" w:rsidP="00C76EAB">
      <w:pPr>
        <w:rPr>
          <w:rFonts w:ascii="Calibri" w:hAnsi="Calibri" w:cs="Calibri"/>
          <w:b/>
          <w:bCs/>
        </w:rPr>
      </w:pPr>
      <w:r>
        <w:rPr>
          <w:rFonts w:ascii="Calibri" w:hAnsi="Calibri" w:cs="Calibri"/>
          <w:b/>
          <w:bCs/>
        </w:rPr>
        <w:t>W</w:t>
      </w:r>
      <w:r w:rsidRPr="001D0F0C">
        <w:rPr>
          <w:rFonts w:ascii="Calibri" w:hAnsi="Calibri" w:cs="Calibri"/>
          <w:b/>
          <w:bCs/>
        </w:rPr>
        <w:t>o kleine Grundrisse ökonomisch und multifunktional genutzt werden wollen, entfalten Dreh- und Falt-</w:t>
      </w:r>
      <w:proofErr w:type="spellStart"/>
      <w:r w:rsidRPr="001D0F0C">
        <w:rPr>
          <w:rFonts w:ascii="Calibri" w:hAnsi="Calibri" w:cs="Calibri"/>
          <w:b/>
          <w:bCs/>
        </w:rPr>
        <w:t>Einschiebebeschläge</w:t>
      </w:r>
      <w:proofErr w:type="spellEnd"/>
      <w:r w:rsidRPr="001D0F0C">
        <w:rPr>
          <w:rFonts w:ascii="Calibri" w:hAnsi="Calibri" w:cs="Calibri"/>
          <w:b/>
          <w:bCs/>
        </w:rPr>
        <w:t xml:space="preserve"> ihr Potenzial. Denn sie sorgen dafür, dass Türen offen nicht im Weg stehen, sondern platzsparend in einer seitlichen Tasche parken. Jetzt erweitert die Hawa </w:t>
      </w:r>
      <w:proofErr w:type="spellStart"/>
      <w:r w:rsidRPr="001D0F0C">
        <w:rPr>
          <w:rFonts w:ascii="Calibri" w:hAnsi="Calibri" w:cs="Calibri"/>
          <w:b/>
          <w:bCs/>
        </w:rPr>
        <w:t>Sliding</w:t>
      </w:r>
      <w:proofErr w:type="spellEnd"/>
      <w:r w:rsidRPr="001D0F0C">
        <w:rPr>
          <w:rFonts w:ascii="Calibri" w:hAnsi="Calibri" w:cs="Calibri"/>
          <w:b/>
          <w:bCs/>
        </w:rPr>
        <w:t xml:space="preserve"> Solutions AG ihr System „Hawa Concepta III“ um eine Lösung für Schränke mit kleinen Fronten bis 15 Kilogramm. </w:t>
      </w:r>
      <w:r>
        <w:rPr>
          <w:rFonts w:ascii="Calibri" w:hAnsi="Calibri" w:cs="Calibri"/>
          <w:b/>
          <w:bCs/>
        </w:rPr>
        <w:t xml:space="preserve">Zusammen mit einem Update des </w:t>
      </w:r>
      <w:r w:rsidRPr="001D0F0C">
        <w:rPr>
          <w:rFonts w:ascii="Calibri" w:hAnsi="Calibri" w:cs="Calibri"/>
          <w:b/>
          <w:bCs/>
        </w:rPr>
        <w:t xml:space="preserve">„Hawa </w:t>
      </w:r>
      <w:proofErr w:type="spellStart"/>
      <w:r w:rsidRPr="001D0F0C">
        <w:rPr>
          <w:rFonts w:ascii="Calibri" w:hAnsi="Calibri" w:cs="Calibri"/>
          <w:b/>
          <w:bCs/>
        </w:rPr>
        <w:t>Folding</w:t>
      </w:r>
      <w:proofErr w:type="spellEnd"/>
      <w:r w:rsidRPr="001D0F0C">
        <w:rPr>
          <w:rFonts w:ascii="Calibri" w:hAnsi="Calibri" w:cs="Calibri"/>
          <w:b/>
          <w:bCs/>
        </w:rPr>
        <w:t xml:space="preserve"> Concepta III“</w:t>
      </w:r>
      <w:r w:rsidR="0041192E">
        <w:rPr>
          <w:rFonts w:ascii="Calibri" w:hAnsi="Calibri" w:cs="Calibri"/>
          <w:b/>
          <w:bCs/>
        </w:rPr>
        <w:t xml:space="preserve"> erhöht d</w:t>
      </w:r>
      <w:r w:rsidR="0041192E" w:rsidRPr="0041192E">
        <w:rPr>
          <w:rFonts w:ascii="Calibri" w:hAnsi="Calibri" w:cs="Calibri"/>
          <w:b/>
          <w:bCs/>
        </w:rPr>
        <w:t>er Schiebebeschlagspezialist</w:t>
      </w:r>
      <w:r w:rsidR="0041192E">
        <w:rPr>
          <w:rFonts w:ascii="Calibri" w:hAnsi="Calibri" w:cs="Calibri"/>
          <w:b/>
          <w:bCs/>
        </w:rPr>
        <w:t xml:space="preserve"> die</w:t>
      </w:r>
      <w:r w:rsidR="0041192E" w:rsidRPr="0041192E">
        <w:rPr>
          <w:rFonts w:ascii="Calibri" w:hAnsi="Calibri" w:cs="Calibri"/>
          <w:b/>
          <w:bCs/>
        </w:rPr>
        <w:t xml:space="preserve"> Gestaltungs</w:t>
      </w:r>
      <w:r w:rsidR="0041192E">
        <w:rPr>
          <w:rFonts w:ascii="Calibri" w:hAnsi="Calibri" w:cs="Calibri"/>
          <w:b/>
          <w:bCs/>
        </w:rPr>
        <w:t>möglichkeiten mit der</w:t>
      </w:r>
      <w:r w:rsidR="00546B3C" w:rsidRPr="00546B3C">
        <w:rPr>
          <w:rFonts w:ascii="Calibri" w:hAnsi="Calibri" w:cs="Calibri"/>
          <w:b/>
          <w:bCs/>
        </w:rPr>
        <w:t xml:space="preserve"> </w:t>
      </w:r>
      <w:r w:rsidR="00804F6F">
        <w:rPr>
          <w:rFonts w:ascii="Calibri" w:hAnsi="Calibri" w:cs="Calibri"/>
          <w:b/>
          <w:bCs/>
        </w:rPr>
        <w:t xml:space="preserve">Pocket-Beschlagfamilie und </w:t>
      </w:r>
      <w:r w:rsidR="0041192E">
        <w:rPr>
          <w:rFonts w:ascii="Calibri" w:hAnsi="Calibri" w:cs="Calibri"/>
          <w:b/>
          <w:bCs/>
        </w:rPr>
        <w:t xml:space="preserve">bietet eine breite </w:t>
      </w:r>
      <w:r w:rsidR="00804F6F">
        <w:rPr>
          <w:rFonts w:ascii="Calibri" w:hAnsi="Calibri" w:cs="Calibri"/>
          <w:b/>
          <w:bCs/>
        </w:rPr>
        <w:t xml:space="preserve">Basis </w:t>
      </w:r>
      <w:r w:rsidR="00D37DEA">
        <w:rPr>
          <w:rFonts w:ascii="Calibri" w:hAnsi="Calibri" w:cs="Calibri"/>
          <w:b/>
          <w:bCs/>
        </w:rPr>
        <w:t>für durchgängiges Möbeldesign</w:t>
      </w:r>
      <w:r w:rsidR="00804F6F">
        <w:rPr>
          <w:rFonts w:ascii="Calibri" w:hAnsi="Calibri" w:cs="Calibri"/>
          <w:b/>
          <w:bCs/>
        </w:rPr>
        <w:t>.</w:t>
      </w:r>
      <w:r w:rsidR="00546B3C" w:rsidRPr="00546B3C">
        <w:rPr>
          <w:rFonts w:ascii="Calibri" w:hAnsi="Calibri" w:cs="Calibri"/>
          <w:b/>
          <w:bCs/>
        </w:rPr>
        <w:t xml:space="preserve"> </w:t>
      </w:r>
    </w:p>
    <w:p w14:paraId="70B15167" w14:textId="77777777" w:rsidR="00A5725A" w:rsidRDefault="00A5725A" w:rsidP="00C76EAB">
      <w:pPr>
        <w:rPr>
          <w:rFonts w:ascii="Calibri" w:hAnsi="Calibri" w:cs="Calibri"/>
          <w:b/>
          <w:bCs/>
        </w:rPr>
      </w:pPr>
    </w:p>
    <w:p w14:paraId="7C1BBDFE" w14:textId="67F8C7E4" w:rsidR="00A5725A" w:rsidRPr="00A5725A" w:rsidRDefault="00FE68CA" w:rsidP="00C76EAB">
      <w:pPr>
        <w:rPr>
          <w:rFonts w:ascii="Calibri" w:hAnsi="Calibri" w:cs="Calibri"/>
        </w:rPr>
      </w:pPr>
      <w:r>
        <w:rPr>
          <w:rFonts w:ascii="Calibri" w:hAnsi="Calibri" w:cs="Calibri"/>
        </w:rPr>
        <w:t>Hawa konzipierte den</w:t>
      </w:r>
      <w:r w:rsidR="00A5725A" w:rsidRPr="00A5725A">
        <w:rPr>
          <w:rFonts w:ascii="Calibri" w:hAnsi="Calibri" w:cs="Calibri"/>
        </w:rPr>
        <w:t xml:space="preserve"> „Concepta III 15“ </w:t>
      </w:r>
      <w:r>
        <w:rPr>
          <w:rFonts w:ascii="Calibri" w:hAnsi="Calibri" w:cs="Calibri"/>
        </w:rPr>
        <w:t xml:space="preserve">für kompakte </w:t>
      </w:r>
      <w:r w:rsidR="00625E62">
        <w:rPr>
          <w:rFonts w:ascii="Calibri" w:hAnsi="Calibri" w:cs="Calibri"/>
        </w:rPr>
        <w:t>Ober-</w:t>
      </w:r>
      <w:r w:rsidR="00F74A22">
        <w:rPr>
          <w:rFonts w:ascii="Calibri" w:hAnsi="Calibri" w:cs="Calibri"/>
        </w:rPr>
        <w:t>, Aufsatz-</w:t>
      </w:r>
      <w:r w:rsidR="00625E62">
        <w:rPr>
          <w:rFonts w:ascii="Calibri" w:hAnsi="Calibri" w:cs="Calibri"/>
        </w:rPr>
        <w:t xml:space="preserve"> und </w:t>
      </w:r>
      <w:r>
        <w:rPr>
          <w:rFonts w:ascii="Calibri" w:hAnsi="Calibri" w:cs="Calibri"/>
        </w:rPr>
        <w:t xml:space="preserve">Unterschränke in der Küche, für </w:t>
      </w:r>
      <w:r w:rsidR="00FE6926">
        <w:rPr>
          <w:rFonts w:ascii="Calibri" w:hAnsi="Calibri" w:cs="Calibri"/>
        </w:rPr>
        <w:t xml:space="preserve">kleine </w:t>
      </w:r>
      <w:r w:rsidR="00D934F0">
        <w:rPr>
          <w:rFonts w:ascii="Calibri" w:hAnsi="Calibri" w:cs="Calibri"/>
        </w:rPr>
        <w:t>Badezimmermöbel</w:t>
      </w:r>
      <w:r w:rsidR="004C17A3">
        <w:rPr>
          <w:rFonts w:ascii="Calibri" w:hAnsi="Calibri" w:cs="Calibri"/>
        </w:rPr>
        <w:t xml:space="preserve"> oder</w:t>
      </w:r>
      <w:r>
        <w:rPr>
          <w:rFonts w:ascii="Calibri" w:hAnsi="Calibri" w:cs="Calibri"/>
        </w:rPr>
        <w:t xml:space="preserve"> Lösungen im Hauswirtschaftsraum, um Waschmaschine oder Trockner </w:t>
      </w:r>
      <w:r w:rsidR="00FE6926">
        <w:rPr>
          <w:rFonts w:ascii="Calibri" w:hAnsi="Calibri" w:cs="Calibri"/>
        </w:rPr>
        <w:t>verschwinden zu lassen</w:t>
      </w:r>
      <w:r>
        <w:rPr>
          <w:rFonts w:ascii="Calibri" w:hAnsi="Calibri" w:cs="Calibri"/>
        </w:rPr>
        <w:t xml:space="preserve">, für Anwendungen </w:t>
      </w:r>
      <w:r w:rsidR="00FE6926" w:rsidRPr="00FE6926">
        <w:rPr>
          <w:rFonts w:ascii="Calibri" w:hAnsi="Calibri" w:cs="Calibri"/>
        </w:rPr>
        <w:t xml:space="preserve">im Caravaningbereich </w:t>
      </w:r>
      <w:r w:rsidR="00FE6926">
        <w:rPr>
          <w:rFonts w:ascii="Calibri" w:hAnsi="Calibri" w:cs="Calibri"/>
        </w:rPr>
        <w:t xml:space="preserve">oder </w:t>
      </w:r>
      <w:r>
        <w:rPr>
          <w:rFonts w:ascii="Calibri" w:hAnsi="Calibri" w:cs="Calibri"/>
        </w:rPr>
        <w:t xml:space="preserve">im </w:t>
      </w:r>
      <w:r w:rsidR="00D934F0">
        <w:rPr>
          <w:rFonts w:ascii="Calibri" w:hAnsi="Calibri" w:cs="Calibri"/>
        </w:rPr>
        <w:t>Hotel, zum Beispiel als Minibar oder Kaffee-Tee-Station</w:t>
      </w:r>
      <w:r>
        <w:rPr>
          <w:rFonts w:ascii="Calibri" w:hAnsi="Calibri" w:cs="Calibri"/>
        </w:rPr>
        <w:t>.</w:t>
      </w:r>
      <w:r w:rsidR="00625E62">
        <w:rPr>
          <w:rFonts w:ascii="Calibri" w:hAnsi="Calibri" w:cs="Calibri"/>
        </w:rPr>
        <w:t xml:space="preserve"> </w:t>
      </w:r>
      <w:r>
        <w:rPr>
          <w:rFonts w:ascii="Calibri" w:hAnsi="Calibri" w:cs="Calibri"/>
        </w:rPr>
        <w:t xml:space="preserve">Der Beschlag </w:t>
      </w:r>
      <w:r w:rsidR="002D506D">
        <w:rPr>
          <w:rFonts w:ascii="Calibri" w:hAnsi="Calibri" w:cs="Calibri"/>
        </w:rPr>
        <w:t xml:space="preserve">in der neuen Gewichtsklasse </w:t>
      </w:r>
      <w:r w:rsidR="00081902">
        <w:rPr>
          <w:rFonts w:ascii="Calibri" w:hAnsi="Calibri" w:cs="Calibri"/>
        </w:rPr>
        <w:t xml:space="preserve">von vier bis 15 Kilogramm </w:t>
      </w:r>
      <w:r>
        <w:rPr>
          <w:rFonts w:ascii="Calibri" w:hAnsi="Calibri" w:cs="Calibri"/>
        </w:rPr>
        <w:t xml:space="preserve">ist für Fronten von 600 bis 1.400 mm Höhe und 350 bis 700 mm Breite </w:t>
      </w:r>
      <w:r w:rsidR="00435C89">
        <w:rPr>
          <w:rFonts w:ascii="Calibri" w:hAnsi="Calibri" w:cs="Calibri"/>
        </w:rPr>
        <w:t xml:space="preserve">sowie </w:t>
      </w:r>
      <w:r w:rsidR="00081902">
        <w:rPr>
          <w:rFonts w:ascii="Calibri" w:hAnsi="Calibri" w:cs="Calibri"/>
        </w:rPr>
        <w:t xml:space="preserve">für </w:t>
      </w:r>
      <w:r w:rsidR="00435C89">
        <w:rPr>
          <w:rFonts w:ascii="Calibri" w:hAnsi="Calibri" w:cs="Calibri"/>
        </w:rPr>
        <w:t xml:space="preserve">Türdicken </w:t>
      </w:r>
      <w:r w:rsidR="00081902">
        <w:rPr>
          <w:rFonts w:ascii="Calibri" w:hAnsi="Calibri" w:cs="Calibri"/>
        </w:rPr>
        <w:t xml:space="preserve">von </w:t>
      </w:r>
      <w:r w:rsidR="00435C89">
        <w:rPr>
          <w:rFonts w:ascii="Calibri" w:hAnsi="Calibri" w:cs="Calibri"/>
        </w:rPr>
        <w:t xml:space="preserve">18 bis 26 mm </w:t>
      </w:r>
      <w:r>
        <w:rPr>
          <w:rFonts w:ascii="Calibri" w:hAnsi="Calibri" w:cs="Calibri"/>
        </w:rPr>
        <w:t>ausgelegt</w:t>
      </w:r>
      <w:r w:rsidR="001A6FC3">
        <w:rPr>
          <w:rFonts w:ascii="Calibri" w:hAnsi="Calibri" w:cs="Calibri"/>
        </w:rPr>
        <w:t>.</w:t>
      </w:r>
    </w:p>
    <w:p w14:paraId="2D320B73" w14:textId="77777777" w:rsidR="003064C2" w:rsidRPr="003064C2" w:rsidRDefault="003064C2" w:rsidP="00C76EAB">
      <w:pPr>
        <w:rPr>
          <w:rFonts w:ascii="Calibri" w:hAnsi="Calibri" w:cs="Calibri"/>
        </w:rPr>
      </w:pPr>
    </w:p>
    <w:p w14:paraId="7D41C4A9" w14:textId="15CA09C9" w:rsidR="00A339BC" w:rsidRDefault="002C63AD" w:rsidP="00C76EAB">
      <w:pPr>
        <w:rPr>
          <w:rFonts w:ascii="Calibri" w:hAnsi="Calibri" w:cs="Calibri"/>
        </w:rPr>
      </w:pPr>
      <w:r>
        <w:rPr>
          <w:rFonts w:ascii="Calibri" w:hAnsi="Calibri" w:cs="Calibri"/>
        </w:rPr>
        <w:t xml:space="preserve">Dem „kleinen Concepta“ liegt der gleiche </w:t>
      </w:r>
      <w:r w:rsidR="003064C2" w:rsidRPr="003064C2">
        <w:rPr>
          <w:rFonts w:ascii="Calibri" w:hAnsi="Calibri" w:cs="Calibri"/>
        </w:rPr>
        <w:t>Bewegungsablauf zugrunde</w:t>
      </w:r>
      <w:r>
        <w:rPr>
          <w:rFonts w:ascii="Calibri" w:hAnsi="Calibri" w:cs="Calibri"/>
        </w:rPr>
        <w:t xml:space="preserve"> wie der gesamten Pocket</w:t>
      </w:r>
      <w:r w:rsidR="00930422">
        <w:rPr>
          <w:rFonts w:ascii="Calibri" w:hAnsi="Calibri" w:cs="Calibri"/>
        </w:rPr>
        <w:t>-B</w:t>
      </w:r>
      <w:r>
        <w:rPr>
          <w:rFonts w:ascii="Calibri" w:hAnsi="Calibri" w:cs="Calibri"/>
        </w:rPr>
        <w:t>eschlag</w:t>
      </w:r>
      <w:r w:rsidR="00930422">
        <w:rPr>
          <w:rFonts w:ascii="Calibri" w:hAnsi="Calibri" w:cs="Calibri"/>
        </w:rPr>
        <w:t>f</w:t>
      </w:r>
      <w:r>
        <w:rPr>
          <w:rFonts w:ascii="Calibri" w:hAnsi="Calibri" w:cs="Calibri"/>
        </w:rPr>
        <w:t>amilie</w:t>
      </w:r>
      <w:r w:rsidR="003064C2" w:rsidRPr="003064C2">
        <w:rPr>
          <w:rFonts w:ascii="Calibri" w:hAnsi="Calibri" w:cs="Calibri"/>
        </w:rPr>
        <w:t xml:space="preserve">: </w:t>
      </w:r>
      <w:r w:rsidR="00FE6926">
        <w:rPr>
          <w:rFonts w:ascii="Calibri" w:hAnsi="Calibri" w:cs="Calibri"/>
        </w:rPr>
        <w:t xml:space="preserve">Geöffnete </w:t>
      </w:r>
      <w:r w:rsidR="003064C2" w:rsidRPr="003064C2">
        <w:rPr>
          <w:rFonts w:ascii="Calibri" w:hAnsi="Calibri" w:cs="Calibri"/>
        </w:rPr>
        <w:t>Fronten lassen sich seitlich komplett einschieben. D</w:t>
      </w:r>
      <w:r w:rsidR="00FE6926">
        <w:rPr>
          <w:rFonts w:ascii="Calibri" w:hAnsi="Calibri" w:cs="Calibri"/>
        </w:rPr>
        <w:t>ieses</w:t>
      </w:r>
      <w:r w:rsidR="003064C2" w:rsidRPr="003064C2">
        <w:rPr>
          <w:rFonts w:ascii="Calibri" w:hAnsi="Calibri" w:cs="Calibri"/>
        </w:rPr>
        <w:t xml:space="preserve"> Parken auf kleinstem Raum erlaubt den freien Zugriff auf das gesamte Schrankinnenleben, ohne dass die Tür im Weg steht. Durch leichtes Antippen bei der grifflosen Variante oder unter Nutzung eines Griffes </w:t>
      </w:r>
      <w:r w:rsidR="00930422">
        <w:rPr>
          <w:rFonts w:ascii="Calibri" w:hAnsi="Calibri" w:cs="Calibri"/>
        </w:rPr>
        <w:t>lässt</w:t>
      </w:r>
      <w:r w:rsidR="003064C2" w:rsidRPr="003064C2">
        <w:rPr>
          <w:rFonts w:ascii="Calibri" w:hAnsi="Calibri" w:cs="Calibri"/>
        </w:rPr>
        <w:t xml:space="preserve"> sie sich wieder hervorholen und zu einer </w:t>
      </w:r>
      <w:r>
        <w:rPr>
          <w:rFonts w:ascii="Calibri" w:hAnsi="Calibri" w:cs="Calibri"/>
        </w:rPr>
        <w:t>flächenbündigen</w:t>
      </w:r>
      <w:r w:rsidR="003064C2" w:rsidRPr="003064C2">
        <w:rPr>
          <w:rFonts w:ascii="Calibri" w:hAnsi="Calibri" w:cs="Calibri"/>
        </w:rPr>
        <w:t xml:space="preserve"> Front schließen.</w:t>
      </w:r>
    </w:p>
    <w:p w14:paraId="1DC54780" w14:textId="77777777" w:rsidR="005B6FFD" w:rsidRDefault="005B6FFD" w:rsidP="00C76EAB">
      <w:pPr>
        <w:rPr>
          <w:rFonts w:ascii="Calibri" w:hAnsi="Calibri" w:cs="Calibri"/>
        </w:rPr>
      </w:pPr>
    </w:p>
    <w:p w14:paraId="7B2D1844" w14:textId="77777777" w:rsidR="002D506D" w:rsidRDefault="002D506D" w:rsidP="00C76EAB">
      <w:pPr>
        <w:rPr>
          <w:rFonts w:ascii="Calibri" w:hAnsi="Calibri" w:cs="Calibri"/>
          <w:b/>
          <w:bCs/>
        </w:rPr>
      </w:pPr>
      <w:r w:rsidRPr="002D506D">
        <w:rPr>
          <w:rFonts w:ascii="Calibri" w:hAnsi="Calibri" w:cs="Calibri"/>
          <w:b/>
          <w:bCs/>
        </w:rPr>
        <w:t>Weniger Aufwand &amp; mehr Komfort be</w:t>
      </w:r>
      <w:r>
        <w:rPr>
          <w:rFonts w:ascii="Calibri" w:hAnsi="Calibri" w:cs="Calibri"/>
          <w:b/>
          <w:bCs/>
        </w:rPr>
        <w:t>im Falten</w:t>
      </w:r>
    </w:p>
    <w:p w14:paraId="118530EE" w14:textId="77777777" w:rsidR="00C76EAB" w:rsidRDefault="00C76EAB" w:rsidP="00C76EAB">
      <w:pPr>
        <w:rPr>
          <w:rFonts w:ascii="Calibri" w:hAnsi="Calibri" w:cs="Calibri"/>
          <w:b/>
          <w:bCs/>
        </w:rPr>
      </w:pPr>
    </w:p>
    <w:p w14:paraId="6A38D644" w14:textId="261CBFFD" w:rsidR="00F44182" w:rsidRDefault="0072693D" w:rsidP="00C76EAB">
      <w:pPr>
        <w:rPr>
          <w:rFonts w:ascii="Calibri" w:hAnsi="Calibri" w:cs="Calibri"/>
        </w:rPr>
      </w:pPr>
      <w:r>
        <w:rPr>
          <w:rFonts w:ascii="Calibri" w:hAnsi="Calibri" w:cs="Calibri"/>
        </w:rPr>
        <w:t>O</w:t>
      </w:r>
      <w:r w:rsidR="00FE6926">
        <w:rPr>
          <w:rFonts w:ascii="Calibri" w:hAnsi="Calibri" w:cs="Calibri"/>
        </w:rPr>
        <w:t xml:space="preserve">ptimierte </w:t>
      </w:r>
      <w:r>
        <w:rPr>
          <w:rFonts w:ascii="Calibri" w:hAnsi="Calibri" w:cs="Calibri"/>
        </w:rPr>
        <w:t xml:space="preserve">und neu entwickelte </w:t>
      </w:r>
      <w:r w:rsidR="00FE6926">
        <w:rPr>
          <w:rFonts w:ascii="Calibri" w:hAnsi="Calibri" w:cs="Calibri"/>
        </w:rPr>
        <w:t xml:space="preserve">Komponenten </w:t>
      </w:r>
      <w:r>
        <w:rPr>
          <w:rFonts w:ascii="Calibri" w:hAnsi="Calibri" w:cs="Calibri"/>
        </w:rPr>
        <w:t xml:space="preserve">sorgen beim </w:t>
      </w:r>
      <w:r w:rsidRPr="0072693D">
        <w:rPr>
          <w:rFonts w:ascii="Calibri" w:hAnsi="Calibri" w:cs="Calibri"/>
        </w:rPr>
        <w:t xml:space="preserve">„Hawa </w:t>
      </w:r>
      <w:proofErr w:type="spellStart"/>
      <w:r w:rsidRPr="0072693D">
        <w:rPr>
          <w:rFonts w:ascii="Calibri" w:hAnsi="Calibri" w:cs="Calibri"/>
        </w:rPr>
        <w:t>Folding</w:t>
      </w:r>
      <w:proofErr w:type="spellEnd"/>
      <w:r w:rsidRPr="0072693D">
        <w:rPr>
          <w:rFonts w:ascii="Calibri" w:hAnsi="Calibri" w:cs="Calibri"/>
        </w:rPr>
        <w:t xml:space="preserve"> Concepta III“ </w:t>
      </w:r>
      <w:r w:rsidR="00930422">
        <w:rPr>
          <w:rFonts w:ascii="Calibri" w:hAnsi="Calibri" w:cs="Calibri"/>
        </w:rPr>
        <w:t xml:space="preserve">künftig </w:t>
      </w:r>
      <w:r>
        <w:rPr>
          <w:rFonts w:ascii="Calibri" w:hAnsi="Calibri" w:cs="Calibri"/>
        </w:rPr>
        <w:t>für</w:t>
      </w:r>
      <w:r w:rsidR="00540213">
        <w:rPr>
          <w:rFonts w:ascii="Calibri" w:hAnsi="Calibri" w:cs="Calibri"/>
        </w:rPr>
        <w:t xml:space="preserve"> einen</w:t>
      </w:r>
      <w:r>
        <w:rPr>
          <w:rFonts w:ascii="Calibri" w:hAnsi="Calibri" w:cs="Calibri"/>
        </w:rPr>
        <w:t xml:space="preserve"> höheren</w:t>
      </w:r>
      <w:r w:rsidR="00FE6926">
        <w:rPr>
          <w:rFonts w:ascii="Calibri" w:hAnsi="Calibri" w:cs="Calibri"/>
        </w:rPr>
        <w:t xml:space="preserve"> Bedienkomfort</w:t>
      </w:r>
      <w:r w:rsidR="00DC1539">
        <w:rPr>
          <w:rFonts w:ascii="Calibri" w:hAnsi="Calibri" w:cs="Calibri"/>
        </w:rPr>
        <w:t xml:space="preserve">, </w:t>
      </w:r>
      <w:r>
        <w:rPr>
          <w:rFonts w:ascii="Calibri" w:hAnsi="Calibri" w:cs="Calibri"/>
        </w:rPr>
        <w:t>einen einfachen E</w:t>
      </w:r>
      <w:r w:rsidR="00FE6926">
        <w:rPr>
          <w:rFonts w:ascii="Calibri" w:hAnsi="Calibri" w:cs="Calibri"/>
        </w:rPr>
        <w:t xml:space="preserve">inbau </w:t>
      </w:r>
      <w:r w:rsidR="00DC1539">
        <w:rPr>
          <w:rFonts w:ascii="Calibri" w:hAnsi="Calibri" w:cs="Calibri"/>
        </w:rPr>
        <w:t>sowie für</w:t>
      </w:r>
      <w:r>
        <w:rPr>
          <w:rFonts w:ascii="Calibri" w:hAnsi="Calibri" w:cs="Calibri"/>
        </w:rPr>
        <w:t xml:space="preserve"> eine saubere und präzise Ausrichtung. </w:t>
      </w:r>
    </w:p>
    <w:p w14:paraId="4E8898DA" w14:textId="77777777" w:rsidR="005B6FFD" w:rsidRDefault="005B6FFD" w:rsidP="00C76EAB">
      <w:pPr>
        <w:rPr>
          <w:rFonts w:ascii="Calibri" w:hAnsi="Calibri" w:cs="Calibri"/>
        </w:rPr>
      </w:pPr>
    </w:p>
    <w:p w14:paraId="0268EFB2" w14:textId="3E200241" w:rsidR="00F44182" w:rsidRDefault="00930422" w:rsidP="00C76EAB">
      <w:pPr>
        <w:rPr>
          <w:rFonts w:ascii="Calibri" w:hAnsi="Calibri" w:cs="Calibri"/>
        </w:rPr>
      </w:pPr>
      <w:r w:rsidRPr="00930422">
        <w:rPr>
          <w:rFonts w:ascii="Calibri" w:hAnsi="Calibri" w:cs="Calibri"/>
        </w:rPr>
        <w:lastRenderedPageBreak/>
        <w:t>Besonderes Augenmerk legte Hawa auf die Umsetzung im Aufsatzschrank.</w:t>
      </w:r>
      <w:r>
        <w:rPr>
          <w:rFonts w:ascii="Calibri" w:hAnsi="Calibri" w:cs="Calibri"/>
        </w:rPr>
        <w:t xml:space="preserve"> Mit dem Ziel, Möbelfronten harmonisch durchgehend mit einem filigranen Fugenbild zu gestalten, entstand eine Lösung, </w:t>
      </w:r>
      <w:r w:rsidR="00540213">
        <w:rPr>
          <w:rFonts w:ascii="Calibri" w:hAnsi="Calibri" w:cs="Calibri"/>
        </w:rPr>
        <w:t>die</w:t>
      </w:r>
      <w:r>
        <w:rPr>
          <w:rFonts w:ascii="Calibri" w:hAnsi="Calibri" w:cs="Calibri"/>
        </w:rPr>
        <w:t xml:space="preserve"> keinerlei Fräsungen in der Arbeitsplatte </w:t>
      </w:r>
      <w:r w:rsidR="00540213">
        <w:rPr>
          <w:rFonts w:ascii="Calibri" w:hAnsi="Calibri" w:cs="Calibri"/>
        </w:rPr>
        <w:t>erfordert</w:t>
      </w:r>
      <w:r w:rsidR="000E2044">
        <w:rPr>
          <w:rFonts w:ascii="Calibri" w:hAnsi="Calibri" w:cs="Calibri"/>
        </w:rPr>
        <w:t>.</w:t>
      </w:r>
      <w:r w:rsidR="004A4716">
        <w:rPr>
          <w:rFonts w:ascii="Calibri" w:hAnsi="Calibri" w:cs="Calibri"/>
        </w:rPr>
        <w:t xml:space="preserve"> Die Fuge zwischen Front und Arbeitsplatte beträgt </w:t>
      </w:r>
      <w:r w:rsidR="00296209">
        <w:rPr>
          <w:rFonts w:ascii="Calibri" w:hAnsi="Calibri" w:cs="Calibri"/>
        </w:rPr>
        <w:t xml:space="preserve">dank neuer Führungsschienenlösung </w:t>
      </w:r>
      <w:r w:rsidR="004A4716">
        <w:rPr>
          <w:rFonts w:ascii="Calibri" w:hAnsi="Calibri" w:cs="Calibri"/>
        </w:rPr>
        <w:t>nur 3 bis 6 mm.</w:t>
      </w:r>
      <w:r w:rsidR="004B7424">
        <w:rPr>
          <w:rFonts w:ascii="Calibri" w:hAnsi="Calibri" w:cs="Calibri"/>
        </w:rPr>
        <w:t xml:space="preserve"> Die Front kann so gestaltet sein, dass </w:t>
      </w:r>
      <w:r w:rsidR="00F93E84">
        <w:rPr>
          <w:rFonts w:ascii="Calibri" w:hAnsi="Calibri" w:cs="Calibri"/>
        </w:rPr>
        <w:t xml:space="preserve">sie </w:t>
      </w:r>
      <w:r w:rsidR="004B7424">
        <w:rPr>
          <w:rFonts w:ascii="Calibri" w:hAnsi="Calibri" w:cs="Calibri"/>
        </w:rPr>
        <w:t xml:space="preserve">die Kante der Arbeitsplatte </w:t>
      </w:r>
      <w:r w:rsidR="00F93E84">
        <w:rPr>
          <w:rFonts w:ascii="Calibri" w:hAnsi="Calibri" w:cs="Calibri"/>
        </w:rPr>
        <w:t>verdeckt oder akzentuiert.</w:t>
      </w:r>
    </w:p>
    <w:p w14:paraId="523867F5" w14:textId="77777777" w:rsidR="005B6FFD" w:rsidRPr="009A0749" w:rsidRDefault="005B6FFD" w:rsidP="00C76EAB">
      <w:pPr>
        <w:rPr>
          <w:rFonts w:ascii="Calibri" w:hAnsi="Calibri" w:cs="Calibri"/>
        </w:rPr>
      </w:pPr>
    </w:p>
    <w:p w14:paraId="54FA24A1" w14:textId="0B51C596" w:rsidR="00425234" w:rsidRDefault="00F23B50" w:rsidP="00C76EAB">
      <w:pPr>
        <w:rPr>
          <w:rFonts w:ascii="Calibri" w:hAnsi="Calibri" w:cs="Calibri"/>
        </w:rPr>
      </w:pPr>
      <w:r w:rsidRPr="00F23B50">
        <w:rPr>
          <w:rFonts w:ascii="Calibri" w:hAnsi="Calibri" w:cs="Calibri"/>
        </w:rPr>
        <w:t>Die Neuerungen</w:t>
      </w:r>
      <w:r w:rsidR="00F93E84">
        <w:rPr>
          <w:rFonts w:ascii="Calibri" w:hAnsi="Calibri" w:cs="Calibri"/>
        </w:rPr>
        <w:t xml:space="preserve"> </w:t>
      </w:r>
      <w:r w:rsidR="008D7CE4">
        <w:rPr>
          <w:rFonts w:ascii="Calibri" w:hAnsi="Calibri" w:cs="Calibri"/>
        </w:rPr>
        <w:t>der Pocket-Beschlagfamilie</w:t>
      </w:r>
      <w:r w:rsidRPr="00F23B50">
        <w:rPr>
          <w:rFonts w:ascii="Calibri" w:hAnsi="Calibri" w:cs="Calibri"/>
        </w:rPr>
        <w:t xml:space="preserve">, die Hawa erstmals zur </w:t>
      </w:r>
      <w:proofErr w:type="spellStart"/>
      <w:r w:rsidRPr="00F23B50">
        <w:rPr>
          <w:rFonts w:ascii="Calibri" w:hAnsi="Calibri" w:cs="Calibri"/>
        </w:rPr>
        <w:t>Sicam</w:t>
      </w:r>
      <w:proofErr w:type="spellEnd"/>
      <w:r w:rsidRPr="00F23B50">
        <w:rPr>
          <w:rFonts w:ascii="Calibri" w:hAnsi="Calibri" w:cs="Calibri"/>
        </w:rPr>
        <w:t xml:space="preserve"> </w:t>
      </w:r>
      <w:r w:rsidR="00F93E84">
        <w:rPr>
          <w:rFonts w:ascii="Calibri" w:hAnsi="Calibri" w:cs="Calibri"/>
        </w:rPr>
        <w:t xml:space="preserve">2026 in </w:t>
      </w:r>
      <w:proofErr w:type="spellStart"/>
      <w:r w:rsidR="00F93E84">
        <w:rPr>
          <w:rFonts w:ascii="Calibri" w:hAnsi="Calibri" w:cs="Calibri"/>
        </w:rPr>
        <w:t>Pordenone</w:t>
      </w:r>
      <w:proofErr w:type="spellEnd"/>
      <w:r w:rsidR="00F93E84">
        <w:rPr>
          <w:rFonts w:ascii="Calibri" w:hAnsi="Calibri" w:cs="Calibri"/>
        </w:rPr>
        <w:t xml:space="preserve"> </w:t>
      </w:r>
      <w:r w:rsidRPr="00F23B50">
        <w:rPr>
          <w:rFonts w:ascii="Calibri" w:hAnsi="Calibri" w:cs="Calibri"/>
        </w:rPr>
        <w:t>vorstellt, erweiter</w:t>
      </w:r>
      <w:r w:rsidR="00DC1539">
        <w:rPr>
          <w:rFonts w:ascii="Calibri" w:hAnsi="Calibri" w:cs="Calibri"/>
        </w:rPr>
        <w:t>n</w:t>
      </w:r>
      <w:r w:rsidR="008D7CE4">
        <w:rPr>
          <w:rFonts w:ascii="Calibri" w:hAnsi="Calibri" w:cs="Calibri"/>
        </w:rPr>
        <w:t xml:space="preserve"> </w:t>
      </w:r>
      <w:r w:rsidRPr="00F23B50">
        <w:rPr>
          <w:rFonts w:ascii="Calibri" w:hAnsi="Calibri" w:cs="Calibri"/>
        </w:rPr>
        <w:t xml:space="preserve">die </w:t>
      </w:r>
      <w:r w:rsidR="008D7CE4">
        <w:rPr>
          <w:rFonts w:ascii="Calibri" w:hAnsi="Calibri" w:cs="Calibri"/>
        </w:rPr>
        <w:t>M</w:t>
      </w:r>
      <w:r w:rsidRPr="00F23B50">
        <w:rPr>
          <w:rFonts w:ascii="Calibri" w:hAnsi="Calibri" w:cs="Calibri"/>
        </w:rPr>
        <w:t xml:space="preserve">öglichkeiten </w:t>
      </w:r>
      <w:r w:rsidR="008D7CE4">
        <w:rPr>
          <w:rFonts w:ascii="Calibri" w:hAnsi="Calibri" w:cs="Calibri"/>
        </w:rPr>
        <w:t xml:space="preserve">für ein </w:t>
      </w:r>
      <w:r w:rsidR="00DC1539">
        <w:rPr>
          <w:rFonts w:ascii="Calibri" w:hAnsi="Calibri" w:cs="Calibri"/>
        </w:rPr>
        <w:t>harmonisch</w:t>
      </w:r>
      <w:r w:rsidR="008D7CE4">
        <w:rPr>
          <w:rFonts w:ascii="Calibri" w:hAnsi="Calibri" w:cs="Calibri"/>
        </w:rPr>
        <w:t xml:space="preserve"> flächenbündiges Möbeldesign mit konsistentem Fugenbild und platzsparenden </w:t>
      </w:r>
      <w:proofErr w:type="spellStart"/>
      <w:r w:rsidRPr="00F23B50">
        <w:rPr>
          <w:rFonts w:ascii="Calibri" w:hAnsi="Calibri" w:cs="Calibri"/>
        </w:rPr>
        <w:t>Einschiebe</w:t>
      </w:r>
      <w:r w:rsidR="008D7CE4">
        <w:rPr>
          <w:rFonts w:ascii="Calibri" w:hAnsi="Calibri" w:cs="Calibri"/>
        </w:rPr>
        <w:t>türen</w:t>
      </w:r>
      <w:proofErr w:type="spellEnd"/>
      <w:r w:rsidR="008D7CE4">
        <w:rPr>
          <w:rFonts w:ascii="Calibri" w:hAnsi="Calibri" w:cs="Calibri"/>
        </w:rPr>
        <w:t xml:space="preserve"> </w:t>
      </w:r>
      <w:r w:rsidR="00F93E84">
        <w:rPr>
          <w:rFonts w:ascii="Calibri" w:hAnsi="Calibri" w:cs="Calibri"/>
        </w:rPr>
        <w:t xml:space="preserve">deutlich. </w:t>
      </w:r>
      <w:r w:rsidRPr="00F23B50">
        <w:rPr>
          <w:rFonts w:ascii="Calibri" w:hAnsi="Calibri" w:cs="Calibri"/>
        </w:rPr>
        <w:t xml:space="preserve">Die „Hawa Concepta III“-Familie </w:t>
      </w:r>
      <w:r w:rsidR="008D7CE4">
        <w:rPr>
          <w:rFonts w:ascii="Calibri" w:hAnsi="Calibri" w:cs="Calibri"/>
        </w:rPr>
        <w:t xml:space="preserve">eignet sich nun für </w:t>
      </w:r>
      <w:r w:rsidRPr="00F23B50">
        <w:rPr>
          <w:rFonts w:ascii="Calibri" w:hAnsi="Calibri" w:cs="Calibri"/>
        </w:rPr>
        <w:t xml:space="preserve">kleine Fronten genauso wie </w:t>
      </w:r>
      <w:r w:rsidR="008D7CE4">
        <w:rPr>
          <w:rFonts w:ascii="Calibri" w:hAnsi="Calibri" w:cs="Calibri"/>
        </w:rPr>
        <w:t xml:space="preserve">für </w:t>
      </w:r>
      <w:r w:rsidRPr="00F23B50">
        <w:rPr>
          <w:rFonts w:ascii="Calibri" w:hAnsi="Calibri" w:cs="Calibri"/>
        </w:rPr>
        <w:t xml:space="preserve">großflächige Konstruktionen </w:t>
      </w:r>
      <w:r w:rsidR="00C7635A">
        <w:rPr>
          <w:rFonts w:ascii="Calibri" w:hAnsi="Calibri" w:cs="Calibri"/>
        </w:rPr>
        <w:t xml:space="preserve">mit </w:t>
      </w:r>
      <w:r w:rsidRPr="00F23B50">
        <w:rPr>
          <w:rFonts w:ascii="Calibri" w:hAnsi="Calibri" w:cs="Calibri"/>
        </w:rPr>
        <w:t xml:space="preserve">bis zu drei Metern Breite und 2,70 Meter Höhe. Unabhängig von Höhe und Breite erlaubt das System die Planung ein-, zwei- und mehrtüriger Möbelfronten mit und ohne Mittelwand, einliegende und aufschlagende </w:t>
      </w:r>
      <w:r w:rsidR="00C7635A">
        <w:rPr>
          <w:rFonts w:ascii="Calibri" w:hAnsi="Calibri" w:cs="Calibri"/>
        </w:rPr>
        <w:t>Fronten</w:t>
      </w:r>
      <w:r w:rsidRPr="00F23B50">
        <w:rPr>
          <w:rFonts w:ascii="Calibri" w:hAnsi="Calibri" w:cs="Calibri"/>
        </w:rPr>
        <w:t xml:space="preserve"> sowie Push-to-open-Grifflosvarianten oder </w:t>
      </w:r>
      <w:proofErr w:type="spellStart"/>
      <w:r w:rsidRPr="00F23B50">
        <w:rPr>
          <w:rFonts w:ascii="Calibri" w:hAnsi="Calibri" w:cs="Calibri"/>
        </w:rPr>
        <w:t>Pullversionen</w:t>
      </w:r>
      <w:proofErr w:type="spellEnd"/>
      <w:r w:rsidRPr="00F23B50">
        <w:rPr>
          <w:rFonts w:ascii="Calibri" w:hAnsi="Calibri" w:cs="Calibri"/>
        </w:rPr>
        <w:t xml:space="preserve"> mit Griff. </w:t>
      </w:r>
      <w:r>
        <w:rPr>
          <w:rFonts w:ascii="Calibri" w:hAnsi="Calibri" w:cs="Calibri"/>
        </w:rPr>
        <w:t xml:space="preserve">Alle Neuheiten sind </w:t>
      </w:r>
      <w:r w:rsidRPr="00F23B50">
        <w:rPr>
          <w:rFonts w:ascii="Calibri" w:hAnsi="Calibri" w:cs="Calibri"/>
        </w:rPr>
        <w:t>ab sofort mit dem Hawa-Konfigurator planbar.</w:t>
      </w:r>
      <w:r w:rsidR="00C06036">
        <w:rPr>
          <w:rFonts w:ascii="Calibri" w:hAnsi="Calibri" w:cs="Calibri"/>
        </w:rPr>
        <w:t xml:space="preserve"> </w:t>
      </w:r>
      <w:r w:rsidR="00F93E84">
        <w:rPr>
          <w:rFonts w:ascii="Calibri" w:hAnsi="Calibri" w:cs="Calibri"/>
        </w:rPr>
        <w:t xml:space="preserve">Der </w:t>
      </w:r>
      <w:r w:rsidR="00C06036">
        <w:rPr>
          <w:rFonts w:ascii="Calibri" w:hAnsi="Calibri" w:cs="Calibri"/>
        </w:rPr>
        <w:t xml:space="preserve">Kunde bekommt </w:t>
      </w:r>
      <w:r w:rsidR="00C7635A">
        <w:rPr>
          <w:rFonts w:ascii="Calibri" w:hAnsi="Calibri" w:cs="Calibri"/>
        </w:rPr>
        <w:t xml:space="preserve">auf seine Bestellung abgestimmte, </w:t>
      </w:r>
      <w:r w:rsidR="00C06036">
        <w:rPr>
          <w:rFonts w:ascii="Calibri" w:hAnsi="Calibri" w:cs="Calibri"/>
        </w:rPr>
        <w:t xml:space="preserve">konfigurierte </w:t>
      </w:r>
      <w:r w:rsidR="00C7635A">
        <w:rPr>
          <w:rFonts w:ascii="Calibri" w:hAnsi="Calibri" w:cs="Calibri"/>
        </w:rPr>
        <w:t>Beschlag-S</w:t>
      </w:r>
      <w:r w:rsidR="00C06036">
        <w:rPr>
          <w:rFonts w:ascii="Calibri" w:hAnsi="Calibri" w:cs="Calibri"/>
        </w:rPr>
        <w:t>ets geliefert.</w:t>
      </w:r>
    </w:p>
    <w:p w14:paraId="4939550C" w14:textId="77777777" w:rsidR="006914DB" w:rsidRDefault="006914DB" w:rsidP="00C76EAB">
      <w:pPr>
        <w:rPr>
          <w:rFonts w:ascii="Calibri" w:hAnsi="Calibri" w:cs="Calibri"/>
        </w:rPr>
      </w:pPr>
    </w:p>
    <w:p w14:paraId="375EEA03" w14:textId="77777777" w:rsidR="00425234" w:rsidRDefault="00425234" w:rsidP="00C76EAB">
      <w:pPr>
        <w:rPr>
          <w:rFonts w:ascii="Calibri" w:hAnsi="Calibri" w:cs="Calibri"/>
        </w:rPr>
      </w:pPr>
    </w:p>
    <w:p w14:paraId="0BE802E0" w14:textId="196E4A87" w:rsidR="00425234" w:rsidRPr="00804F6F" w:rsidRDefault="00425234" w:rsidP="002C63AD">
      <w:pPr>
        <w:rPr>
          <w:rFonts w:ascii="Calibri" w:hAnsi="Calibri" w:cs="Calibri"/>
        </w:rPr>
      </w:pPr>
      <w:r w:rsidRPr="00804F6F">
        <w:rPr>
          <w:rFonts w:ascii="Calibri" w:hAnsi="Calibri" w:cs="Calibri"/>
        </w:rPr>
        <w:t xml:space="preserve">Bildtext 1: </w:t>
      </w:r>
      <w:r w:rsidR="00C7635A" w:rsidRPr="00C7635A">
        <w:rPr>
          <w:rFonts w:ascii="Calibri" w:hAnsi="Calibri" w:cs="Calibri"/>
        </w:rPr>
        <w:t>„</w:t>
      </w:r>
      <w:r w:rsidR="00C7635A">
        <w:rPr>
          <w:rFonts w:ascii="Calibri" w:hAnsi="Calibri" w:cs="Calibri"/>
        </w:rPr>
        <w:t xml:space="preserve">Hawa </w:t>
      </w:r>
      <w:r w:rsidR="00C7635A" w:rsidRPr="00C7635A">
        <w:rPr>
          <w:rFonts w:ascii="Calibri" w:hAnsi="Calibri" w:cs="Calibri"/>
        </w:rPr>
        <w:t xml:space="preserve">Concepta III 15“ </w:t>
      </w:r>
      <w:r w:rsidR="00C7635A">
        <w:rPr>
          <w:rFonts w:ascii="Calibri" w:hAnsi="Calibri" w:cs="Calibri"/>
        </w:rPr>
        <w:t>ist die Pocket-</w:t>
      </w:r>
      <w:r w:rsidR="00C7635A" w:rsidRPr="00C7635A">
        <w:rPr>
          <w:rFonts w:ascii="Calibri" w:hAnsi="Calibri" w:cs="Calibri"/>
        </w:rPr>
        <w:t xml:space="preserve">Lösung für kompakte </w:t>
      </w:r>
      <w:r w:rsidR="00C7635A">
        <w:rPr>
          <w:rFonts w:ascii="Calibri" w:hAnsi="Calibri" w:cs="Calibri"/>
        </w:rPr>
        <w:t>Schränke mit</w:t>
      </w:r>
      <w:r w:rsidR="00C7635A" w:rsidRPr="00C7635A">
        <w:t xml:space="preserve"> </w:t>
      </w:r>
      <w:r w:rsidR="00C7635A" w:rsidRPr="00C7635A">
        <w:rPr>
          <w:rFonts w:ascii="Calibri" w:hAnsi="Calibri" w:cs="Calibri"/>
        </w:rPr>
        <w:t>kleine</w:t>
      </w:r>
      <w:r w:rsidR="00C7635A">
        <w:rPr>
          <w:rFonts w:ascii="Calibri" w:hAnsi="Calibri" w:cs="Calibri"/>
        </w:rPr>
        <w:t>n</w:t>
      </w:r>
      <w:r w:rsidR="00C7635A" w:rsidRPr="00C7635A">
        <w:rPr>
          <w:rFonts w:ascii="Calibri" w:hAnsi="Calibri" w:cs="Calibri"/>
        </w:rPr>
        <w:t xml:space="preserve"> Fronten bis 15 Kilogramm</w:t>
      </w:r>
      <w:r w:rsidR="00C7635A">
        <w:rPr>
          <w:rFonts w:ascii="Calibri" w:hAnsi="Calibri" w:cs="Calibri"/>
        </w:rPr>
        <w:t xml:space="preserve">. </w:t>
      </w:r>
      <w:r w:rsidRPr="00804F6F">
        <w:rPr>
          <w:rFonts w:ascii="Calibri" w:hAnsi="Calibri" w:cs="Calibri"/>
        </w:rPr>
        <w:t xml:space="preserve">Foto: Hawa </w:t>
      </w:r>
      <w:proofErr w:type="spellStart"/>
      <w:r w:rsidRPr="00804F6F">
        <w:rPr>
          <w:rFonts w:ascii="Calibri" w:hAnsi="Calibri" w:cs="Calibri"/>
        </w:rPr>
        <w:t>Sliding</w:t>
      </w:r>
      <w:proofErr w:type="spellEnd"/>
      <w:r w:rsidRPr="00804F6F">
        <w:rPr>
          <w:rFonts w:ascii="Calibri" w:hAnsi="Calibri" w:cs="Calibri"/>
        </w:rPr>
        <w:t xml:space="preserve"> Solutions AG</w:t>
      </w:r>
    </w:p>
    <w:p w14:paraId="6DA7864E" w14:textId="77777777" w:rsidR="00425234" w:rsidRPr="00804F6F" w:rsidRDefault="00425234" w:rsidP="002C63AD">
      <w:pPr>
        <w:rPr>
          <w:rFonts w:ascii="Calibri" w:hAnsi="Calibri" w:cs="Calibri"/>
        </w:rPr>
      </w:pPr>
    </w:p>
    <w:p w14:paraId="597F7631" w14:textId="46AC68C5" w:rsidR="00425234" w:rsidRPr="00425234" w:rsidRDefault="00425234" w:rsidP="002C63AD">
      <w:pPr>
        <w:rPr>
          <w:rFonts w:ascii="Calibri" w:hAnsi="Calibri" w:cs="Calibri"/>
        </w:rPr>
      </w:pPr>
      <w:r w:rsidRPr="00425234">
        <w:rPr>
          <w:rFonts w:ascii="Calibri" w:hAnsi="Calibri" w:cs="Calibri"/>
        </w:rPr>
        <w:t xml:space="preserve">Bildtext 2: </w:t>
      </w:r>
      <w:r w:rsidR="00C7635A" w:rsidRPr="00C7635A">
        <w:rPr>
          <w:rFonts w:ascii="Calibri" w:hAnsi="Calibri" w:cs="Calibri"/>
        </w:rPr>
        <w:t xml:space="preserve">„Hawa </w:t>
      </w:r>
      <w:proofErr w:type="spellStart"/>
      <w:r w:rsidR="00C7635A" w:rsidRPr="00C7635A">
        <w:rPr>
          <w:rFonts w:ascii="Calibri" w:hAnsi="Calibri" w:cs="Calibri"/>
        </w:rPr>
        <w:t>Folding</w:t>
      </w:r>
      <w:proofErr w:type="spellEnd"/>
      <w:r w:rsidR="00C7635A" w:rsidRPr="00C7635A">
        <w:rPr>
          <w:rFonts w:ascii="Calibri" w:hAnsi="Calibri" w:cs="Calibri"/>
        </w:rPr>
        <w:t xml:space="preserve"> Concepta III“ </w:t>
      </w:r>
      <w:r w:rsidR="00C7635A">
        <w:rPr>
          <w:rFonts w:ascii="Calibri" w:hAnsi="Calibri" w:cs="Calibri"/>
        </w:rPr>
        <w:t>profitiert von o</w:t>
      </w:r>
      <w:r w:rsidR="00C7635A" w:rsidRPr="00C7635A">
        <w:rPr>
          <w:rFonts w:ascii="Calibri" w:hAnsi="Calibri" w:cs="Calibri"/>
        </w:rPr>
        <w:t>ptimierte</w:t>
      </w:r>
      <w:r w:rsidR="00C7635A">
        <w:rPr>
          <w:rFonts w:ascii="Calibri" w:hAnsi="Calibri" w:cs="Calibri"/>
        </w:rPr>
        <w:t>n</w:t>
      </w:r>
      <w:r w:rsidR="00C7635A" w:rsidRPr="00C7635A">
        <w:rPr>
          <w:rFonts w:ascii="Calibri" w:hAnsi="Calibri" w:cs="Calibri"/>
        </w:rPr>
        <w:t xml:space="preserve"> und neu entwickelte</w:t>
      </w:r>
      <w:r w:rsidR="00C7635A">
        <w:rPr>
          <w:rFonts w:ascii="Calibri" w:hAnsi="Calibri" w:cs="Calibri"/>
        </w:rPr>
        <w:t>n</w:t>
      </w:r>
      <w:r w:rsidR="00C7635A" w:rsidRPr="00C7635A">
        <w:rPr>
          <w:rFonts w:ascii="Calibri" w:hAnsi="Calibri" w:cs="Calibri"/>
        </w:rPr>
        <w:t xml:space="preserve"> Komponenten</w:t>
      </w:r>
      <w:r w:rsidR="00C7635A">
        <w:rPr>
          <w:rFonts w:ascii="Calibri" w:hAnsi="Calibri" w:cs="Calibri"/>
        </w:rPr>
        <w:t xml:space="preserve">. Sie vereinfachen die Montage, erhöhen den Bedienkomfort und verbessern die Fugenoptik. Das gilt insbesondere für Aufsatzschränke, für die die Arbeitsplatte </w:t>
      </w:r>
      <w:r w:rsidR="00DC1539">
        <w:rPr>
          <w:rFonts w:ascii="Calibri" w:hAnsi="Calibri" w:cs="Calibri"/>
        </w:rPr>
        <w:t xml:space="preserve">nun </w:t>
      </w:r>
      <w:r w:rsidR="00C7635A">
        <w:rPr>
          <w:rFonts w:ascii="Calibri" w:hAnsi="Calibri" w:cs="Calibri"/>
        </w:rPr>
        <w:t xml:space="preserve">nicht </w:t>
      </w:r>
      <w:r w:rsidR="00DC1539">
        <w:rPr>
          <w:rFonts w:ascii="Calibri" w:hAnsi="Calibri" w:cs="Calibri"/>
        </w:rPr>
        <w:t xml:space="preserve">mehr </w:t>
      </w:r>
      <w:r w:rsidR="00C7635A">
        <w:rPr>
          <w:rFonts w:ascii="Calibri" w:hAnsi="Calibri" w:cs="Calibri"/>
        </w:rPr>
        <w:t xml:space="preserve">bearbeitet werden muss. </w:t>
      </w:r>
      <w:r>
        <w:rPr>
          <w:rFonts w:ascii="Calibri" w:hAnsi="Calibri" w:cs="Calibri"/>
        </w:rPr>
        <w:t xml:space="preserve">Foto: Hawa </w:t>
      </w:r>
      <w:proofErr w:type="spellStart"/>
      <w:r>
        <w:rPr>
          <w:rFonts w:ascii="Calibri" w:hAnsi="Calibri" w:cs="Calibri"/>
        </w:rPr>
        <w:t>Sliding</w:t>
      </w:r>
      <w:proofErr w:type="spellEnd"/>
      <w:r>
        <w:rPr>
          <w:rFonts w:ascii="Calibri" w:hAnsi="Calibri" w:cs="Calibri"/>
        </w:rPr>
        <w:t xml:space="preserve"> Solutions AG</w:t>
      </w:r>
    </w:p>
    <w:sectPr w:rsidR="00425234" w:rsidRPr="00425234" w:rsidSect="00DD0F27">
      <w:headerReference w:type="default" r:id="rId6"/>
      <w:pgSz w:w="11906" w:h="16838" w:code="9"/>
      <w:pgMar w:top="2835" w:right="3402" w:bottom="22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74593" w14:textId="77777777" w:rsidR="001143AC" w:rsidRDefault="001143AC" w:rsidP="00C76EAB">
      <w:r>
        <w:separator/>
      </w:r>
    </w:p>
  </w:endnote>
  <w:endnote w:type="continuationSeparator" w:id="0">
    <w:p w14:paraId="3EAB837F" w14:textId="77777777" w:rsidR="001143AC" w:rsidRDefault="001143AC" w:rsidP="00C76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83415" w14:textId="77777777" w:rsidR="001143AC" w:rsidRDefault="001143AC" w:rsidP="00C76EAB">
      <w:r>
        <w:separator/>
      </w:r>
    </w:p>
  </w:footnote>
  <w:footnote w:type="continuationSeparator" w:id="0">
    <w:p w14:paraId="618F0A45" w14:textId="77777777" w:rsidR="001143AC" w:rsidRDefault="001143AC" w:rsidP="00C76E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204BF" w14:textId="19DC2A25" w:rsidR="00C76EAB" w:rsidRPr="00C76EAB" w:rsidRDefault="00C76EAB" w:rsidP="00C76EAB">
    <w:pPr>
      <w:pStyle w:val="Kopfzeile"/>
      <w:jc w:val="right"/>
      <w:rPr>
        <w:rFonts w:ascii="Calibri" w:hAnsi="Calibri" w:cs="Calibri"/>
        <w:sz w:val="20"/>
        <w:szCs w:val="20"/>
      </w:rPr>
    </w:pPr>
    <w:r w:rsidRPr="00C76EAB">
      <w:rPr>
        <w:rFonts w:ascii="Calibri" w:hAnsi="Calibri" w:cs="Calibri"/>
        <w:sz w:val="20"/>
        <w:szCs w:val="20"/>
      </w:rPr>
      <w:t>PR-Nr. 10028-00</w:t>
    </w:r>
    <w:r w:rsidR="00E906D8">
      <w:rPr>
        <w:rFonts w:ascii="Calibri" w:hAnsi="Calibri" w:cs="Calibri"/>
        <w:sz w:val="20"/>
        <w:szCs w:val="20"/>
      </w:rPr>
      <w:t>39</w:t>
    </w:r>
    <w:r w:rsidRPr="00C76EAB">
      <w:rPr>
        <w:rFonts w:ascii="Calibri" w:hAnsi="Calibri" w:cs="Calibri"/>
        <w:sz w:val="20"/>
        <w:szCs w:val="20"/>
      </w:rPr>
      <w:t>-09/2026</w:t>
    </w:r>
  </w:p>
  <w:p w14:paraId="6D5CC789" w14:textId="77777777" w:rsidR="00C76EAB" w:rsidRPr="00C76EAB" w:rsidRDefault="00C76EAB" w:rsidP="00C76EAB">
    <w:pPr>
      <w:pStyle w:val="Kopfzeile"/>
      <w:jc w:val="right"/>
      <w:rPr>
        <w:rFonts w:ascii="Calibri" w:hAnsi="Calibri" w:cs="Calibri"/>
        <w:sz w:val="20"/>
        <w:szCs w:val="20"/>
      </w:rPr>
    </w:pPr>
    <w:r w:rsidRPr="00C76EAB">
      <w:rPr>
        <w:rFonts w:ascii="Calibri" w:hAnsi="Calibri" w:cs="Calibri"/>
        <w:sz w:val="20"/>
        <w:szCs w:val="20"/>
      </w:rPr>
      <w:t>Breite Basis für durchgängiges Möbeldesign</w:t>
    </w:r>
  </w:p>
  <w:p w14:paraId="2948333F" w14:textId="213F678A" w:rsidR="00C76EAB" w:rsidRPr="00C76EAB" w:rsidRDefault="00C76EAB" w:rsidP="00C76EAB">
    <w:pPr>
      <w:pStyle w:val="Kopfzeile"/>
      <w:jc w:val="right"/>
      <w:rPr>
        <w:rFonts w:ascii="Calibri" w:hAnsi="Calibri" w:cs="Calibri"/>
        <w:sz w:val="20"/>
        <w:szCs w:val="20"/>
      </w:rPr>
    </w:pPr>
    <w:r w:rsidRPr="00C76EAB">
      <w:rPr>
        <w:rFonts w:ascii="Calibri" w:hAnsi="Calibri" w:cs="Calibri"/>
        <w:sz w:val="20"/>
        <w:szCs w:val="20"/>
      </w:rPr>
      <w:t>Die Pocket-Beschlagfamilie von Hawa bekommt Zuwachs</w:t>
    </w:r>
    <w:r>
      <w:rPr>
        <w:rFonts w:ascii="Calibri" w:hAnsi="Calibri" w:cs="Calibri"/>
        <w:sz w:val="20"/>
        <w:szCs w:val="20"/>
      </w:rPr>
      <w:t xml:space="preserve"> – Seite </w:t>
    </w:r>
    <w:r w:rsidRPr="00C76EAB">
      <w:rPr>
        <w:rFonts w:ascii="Calibri" w:hAnsi="Calibri" w:cs="Calibri"/>
        <w:sz w:val="20"/>
        <w:szCs w:val="20"/>
      </w:rPr>
      <w:fldChar w:fldCharType="begin"/>
    </w:r>
    <w:r w:rsidRPr="00C76EAB">
      <w:rPr>
        <w:rFonts w:ascii="Calibri" w:hAnsi="Calibri" w:cs="Calibri"/>
        <w:sz w:val="20"/>
        <w:szCs w:val="20"/>
      </w:rPr>
      <w:instrText>PAGE   \* MERGEFORMAT</w:instrText>
    </w:r>
    <w:r w:rsidRPr="00C76EAB">
      <w:rPr>
        <w:rFonts w:ascii="Calibri" w:hAnsi="Calibri" w:cs="Calibri"/>
        <w:sz w:val="20"/>
        <w:szCs w:val="20"/>
      </w:rPr>
      <w:fldChar w:fldCharType="separate"/>
    </w:r>
    <w:r w:rsidRPr="00C76EAB">
      <w:rPr>
        <w:rFonts w:ascii="Calibri" w:hAnsi="Calibri" w:cs="Calibri"/>
        <w:sz w:val="20"/>
        <w:szCs w:val="20"/>
      </w:rPr>
      <w:t>1</w:t>
    </w:r>
    <w:r w:rsidRPr="00C76EAB">
      <w:rPr>
        <w:rFonts w:ascii="Calibri" w:hAnsi="Calibri" w:cs="Calibri"/>
        <w:sz w:val="20"/>
        <w:szCs w:val="2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9BC"/>
    <w:rsid w:val="00081902"/>
    <w:rsid w:val="000C22D2"/>
    <w:rsid w:val="000E2044"/>
    <w:rsid w:val="001143AC"/>
    <w:rsid w:val="001A6FC3"/>
    <w:rsid w:val="001D0F0C"/>
    <w:rsid w:val="00296209"/>
    <w:rsid w:val="002C0CA3"/>
    <w:rsid w:val="002C63AD"/>
    <w:rsid w:val="002D506D"/>
    <w:rsid w:val="003064C2"/>
    <w:rsid w:val="0041192E"/>
    <w:rsid w:val="00425234"/>
    <w:rsid w:val="00435C89"/>
    <w:rsid w:val="00475AE3"/>
    <w:rsid w:val="0049591C"/>
    <w:rsid w:val="004A4716"/>
    <w:rsid w:val="004A5597"/>
    <w:rsid w:val="004B7424"/>
    <w:rsid w:val="004C17A3"/>
    <w:rsid w:val="004F1475"/>
    <w:rsid w:val="0051719F"/>
    <w:rsid w:val="00540213"/>
    <w:rsid w:val="00546B3C"/>
    <w:rsid w:val="00594306"/>
    <w:rsid w:val="005B6FFD"/>
    <w:rsid w:val="005D7BB7"/>
    <w:rsid w:val="00625E62"/>
    <w:rsid w:val="006914DB"/>
    <w:rsid w:val="0072693D"/>
    <w:rsid w:val="007B2628"/>
    <w:rsid w:val="00804F6F"/>
    <w:rsid w:val="008231E1"/>
    <w:rsid w:val="00870D44"/>
    <w:rsid w:val="00881299"/>
    <w:rsid w:val="008A0CB8"/>
    <w:rsid w:val="008D7CE4"/>
    <w:rsid w:val="00930422"/>
    <w:rsid w:val="009A0749"/>
    <w:rsid w:val="00A31A58"/>
    <w:rsid w:val="00A339BC"/>
    <w:rsid w:val="00A5725A"/>
    <w:rsid w:val="00A839AC"/>
    <w:rsid w:val="00AB0955"/>
    <w:rsid w:val="00AC1525"/>
    <w:rsid w:val="00B30F6E"/>
    <w:rsid w:val="00B509D1"/>
    <w:rsid w:val="00B608F5"/>
    <w:rsid w:val="00B82A04"/>
    <w:rsid w:val="00BA7F82"/>
    <w:rsid w:val="00C06036"/>
    <w:rsid w:val="00C43EEB"/>
    <w:rsid w:val="00C7635A"/>
    <w:rsid w:val="00C76EAB"/>
    <w:rsid w:val="00CA7980"/>
    <w:rsid w:val="00CC5205"/>
    <w:rsid w:val="00D013C6"/>
    <w:rsid w:val="00D37DEA"/>
    <w:rsid w:val="00D934F0"/>
    <w:rsid w:val="00DC1539"/>
    <w:rsid w:val="00DD0F27"/>
    <w:rsid w:val="00E52293"/>
    <w:rsid w:val="00E906D8"/>
    <w:rsid w:val="00EC47A5"/>
    <w:rsid w:val="00EF368E"/>
    <w:rsid w:val="00F23B50"/>
    <w:rsid w:val="00F44182"/>
    <w:rsid w:val="00F74A22"/>
    <w:rsid w:val="00F929B4"/>
    <w:rsid w:val="00F93E84"/>
    <w:rsid w:val="00FA7136"/>
    <w:rsid w:val="00FB542C"/>
    <w:rsid w:val="00FE68CA"/>
    <w:rsid w:val="00FE6926"/>
    <w:rsid w:val="00FF0B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6E2D0"/>
  <w15:chartTrackingRefBased/>
  <w15:docId w15:val="{454C8B05-4876-41D3-A6DA-8CF710D55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339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339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339B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339B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339B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339BC"/>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339BC"/>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339BC"/>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339BC"/>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339B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339B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339B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339B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339B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339B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339B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339B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339BC"/>
    <w:rPr>
      <w:rFonts w:eastAsiaTheme="majorEastAsia" w:cstheme="majorBidi"/>
      <w:color w:val="272727" w:themeColor="text1" w:themeTint="D8"/>
    </w:rPr>
  </w:style>
  <w:style w:type="paragraph" w:styleId="Titel">
    <w:name w:val="Title"/>
    <w:basedOn w:val="Standard"/>
    <w:next w:val="Standard"/>
    <w:link w:val="TitelZchn"/>
    <w:uiPriority w:val="10"/>
    <w:qFormat/>
    <w:rsid w:val="00A339BC"/>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339B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339BC"/>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339B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339BC"/>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A339BC"/>
    <w:rPr>
      <w:i/>
      <w:iCs/>
      <w:color w:val="404040" w:themeColor="text1" w:themeTint="BF"/>
    </w:rPr>
  </w:style>
  <w:style w:type="paragraph" w:styleId="Listenabsatz">
    <w:name w:val="List Paragraph"/>
    <w:basedOn w:val="Standard"/>
    <w:uiPriority w:val="34"/>
    <w:qFormat/>
    <w:rsid w:val="00A339BC"/>
    <w:pPr>
      <w:ind w:left="720"/>
      <w:contextualSpacing/>
    </w:pPr>
  </w:style>
  <w:style w:type="character" w:styleId="IntensiveHervorhebung">
    <w:name w:val="Intense Emphasis"/>
    <w:basedOn w:val="Absatz-Standardschriftart"/>
    <w:uiPriority w:val="21"/>
    <w:qFormat/>
    <w:rsid w:val="00A339BC"/>
    <w:rPr>
      <w:i/>
      <w:iCs/>
      <w:color w:val="0F4761" w:themeColor="accent1" w:themeShade="BF"/>
    </w:rPr>
  </w:style>
  <w:style w:type="paragraph" w:styleId="IntensivesZitat">
    <w:name w:val="Intense Quote"/>
    <w:basedOn w:val="Standard"/>
    <w:next w:val="Standard"/>
    <w:link w:val="IntensivesZitatZchn"/>
    <w:uiPriority w:val="30"/>
    <w:qFormat/>
    <w:rsid w:val="00A339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339BC"/>
    <w:rPr>
      <w:i/>
      <w:iCs/>
      <w:color w:val="0F4761" w:themeColor="accent1" w:themeShade="BF"/>
    </w:rPr>
  </w:style>
  <w:style w:type="character" w:styleId="IntensiverVerweis">
    <w:name w:val="Intense Reference"/>
    <w:basedOn w:val="Absatz-Standardschriftart"/>
    <w:uiPriority w:val="32"/>
    <w:qFormat/>
    <w:rsid w:val="00A339BC"/>
    <w:rPr>
      <w:b/>
      <w:bCs/>
      <w:smallCaps/>
      <w:color w:val="0F4761" w:themeColor="accent1" w:themeShade="BF"/>
      <w:spacing w:val="5"/>
    </w:rPr>
  </w:style>
  <w:style w:type="paragraph" w:styleId="Kopfzeile">
    <w:name w:val="header"/>
    <w:basedOn w:val="Standard"/>
    <w:link w:val="KopfzeileZchn"/>
    <w:uiPriority w:val="99"/>
    <w:unhideWhenUsed/>
    <w:rsid w:val="00C76EAB"/>
    <w:pPr>
      <w:tabs>
        <w:tab w:val="center" w:pos="4536"/>
        <w:tab w:val="right" w:pos="9072"/>
      </w:tabs>
    </w:pPr>
  </w:style>
  <w:style w:type="character" w:customStyle="1" w:styleId="KopfzeileZchn">
    <w:name w:val="Kopfzeile Zchn"/>
    <w:basedOn w:val="Absatz-Standardschriftart"/>
    <w:link w:val="Kopfzeile"/>
    <w:uiPriority w:val="99"/>
    <w:rsid w:val="00C76EAB"/>
  </w:style>
  <w:style w:type="paragraph" w:styleId="Fuzeile">
    <w:name w:val="footer"/>
    <w:basedOn w:val="Standard"/>
    <w:link w:val="FuzeileZchn"/>
    <w:uiPriority w:val="99"/>
    <w:unhideWhenUsed/>
    <w:rsid w:val="00C76EAB"/>
    <w:pPr>
      <w:tabs>
        <w:tab w:val="center" w:pos="4536"/>
        <w:tab w:val="right" w:pos="9072"/>
      </w:tabs>
    </w:pPr>
  </w:style>
  <w:style w:type="character" w:customStyle="1" w:styleId="FuzeileZchn">
    <w:name w:val="Fußzeile Zchn"/>
    <w:basedOn w:val="Absatz-Standardschriftart"/>
    <w:link w:val="Fuzeile"/>
    <w:uiPriority w:val="99"/>
    <w:rsid w:val="00C76E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501</Words>
  <Characters>3161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Hannemann</dc:creator>
  <cp:keywords/>
  <dc:description/>
  <cp:lastModifiedBy>Bianca Hannemann</cp:lastModifiedBy>
  <cp:revision>5</cp:revision>
  <dcterms:created xsi:type="dcterms:W3CDTF">2026-09-16T15:20:00Z</dcterms:created>
  <dcterms:modified xsi:type="dcterms:W3CDTF">2026-09-16T15:52:00Z</dcterms:modified>
</cp:coreProperties>
</file>