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E2F5" w14:textId="0A1A20F4" w:rsidR="00C76EAB" w:rsidRPr="00C76EAB" w:rsidRDefault="00C76EAB">
      <w:pPr>
        <w:rPr>
          <w:rFonts w:ascii="Calibri" w:hAnsi="Calibri" w:cs="Calibri"/>
          <w:sz w:val="20"/>
          <w:szCs w:val="20"/>
        </w:rPr>
      </w:pPr>
      <w:r>
        <w:rPr>
          <w:rFonts w:ascii="Calibri" w:hAnsi="Calibri"/>
          <w:sz w:val="20"/>
        </w:rPr>
        <w:t>N° PR 10028-0039-09/2026</w:t>
      </w:r>
    </w:p>
    <w:p w14:paraId="71709C0A" w14:textId="77777777" w:rsidR="00C76EAB" w:rsidRDefault="00C76EAB">
      <w:pPr>
        <w:rPr>
          <w:rFonts w:ascii="Calibri" w:hAnsi="Calibri" w:cs="Calibri"/>
          <w:b/>
          <w:bCs/>
          <w:sz w:val="28"/>
          <w:szCs w:val="28"/>
        </w:rPr>
      </w:pPr>
    </w:p>
    <w:p w14:paraId="76371EF6" w14:textId="41519291" w:rsidR="008A0CB8" w:rsidRDefault="008A0CB8">
      <w:pPr>
        <w:rPr>
          <w:rFonts w:ascii="Calibri" w:hAnsi="Calibri" w:cs="Calibri"/>
          <w:b/>
          <w:bCs/>
          <w:sz w:val="28"/>
          <w:szCs w:val="28"/>
        </w:rPr>
      </w:pPr>
      <w:r>
        <w:rPr>
          <w:rFonts w:ascii="Calibri" w:hAnsi="Calibri"/>
          <w:b/>
          <w:sz w:val="28"/>
        </w:rPr>
        <w:t>Une vaste gamme pour un design de mobilier homogène</w:t>
      </w:r>
    </w:p>
    <w:p w14:paraId="4C740BAA" w14:textId="751D0AE0" w:rsidR="00A339BC" w:rsidRPr="00A339BC" w:rsidRDefault="00A339BC">
      <w:pPr>
        <w:rPr>
          <w:rFonts w:ascii="Calibri" w:hAnsi="Calibri" w:cs="Calibri"/>
          <w:b/>
          <w:bCs/>
        </w:rPr>
      </w:pPr>
      <w:r>
        <w:rPr>
          <w:rFonts w:ascii="Calibri" w:hAnsi="Calibri"/>
          <w:b/>
        </w:rPr>
        <w:t>La famille de ferrures Pocket de Hawa s’agrandit</w:t>
      </w:r>
    </w:p>
    <w:p w14:paraId="1D74346D" w14:textId="77777777" w:rsidR="00A339BC" w:rsidRPr="00A339BC" w:rsidRDefault="00A339BC">
      <w:pPr>
        <w:rPr>
          <w:rFonts w:ascii="Calibri" w:hAnsi="Calibri" w:cs="Calibri"/>
        </w:rPr>
      </w:pPr>
    </w:p>
    <w:p w14:paraId="330FB911" w14:textId="2237A53A" w:rsidR="00A5725A" w:rsidRDefault="001D0F0C" w:rsidP="00C76EAB">
      <w:pPr>
        <w:rPr>
          <w:rFonts w:ascii="Calibri" w:hAnsi="Calibri" w:cs="Calibri"/>
          <w:b/>
          <w:bCs/>
        </w:rPr>
      </w:pPr>
      <w:r>
        <w:rPr>
          <w:rFonts w:ascii="Calibri" w:hAnsi="Calibri"/>
          <w:b/>
        </w:rPr>
        <w:t xml:space="preserve">Pour exploiter les petits espaces de manière économique et multifonctionnelle, les ferrures d'escamotage à coulissement-pivotement et à coulissement-repliement dévoilent tout leur potentiel. Grâce à elles, les portes ouvertes ne gênent pas le passage, mais se replient dans un galandage latéral pour gagner de la place. Hawa </w:t>
      </w:r>
      <w:proofErr w:type="spellStart"/>
      <w:r>
        <w:rPr>
          <w:rFonts w:ascii="Calibri" w:hAnsi="Calibri"/>
          <w:b/>
        </w:rPr>
        <w:t>Sliding</w:t>
      </w:r>
      <w:proofErr w:type="spellEnd"/>
      <w:r>
        <w:rPr>
          <w:rFonts w:ascii="Calibri" w:hAnsi="Calibri"/>
          <w:b/>
        </w:rPr>
        <w:t xml:space="preserve"> Solutions AG complète désormais son système « Hawa Concepta III » avec une solution destinée aux armoires dotées de petites façades jusqu’à 15 kilogrammes. En plus d’une mise à jour de la ferrure « Hawa </w:t>
      </w:r>
      <w:proofErr w:type="spellStart"/>
      <w:r>
        <w:rPr>
          <w:rFonts w:ascii="Calibri" w:hAnsi="Calibri"/>
          <w:b/>
        </w:rPr>
        <w:t>Folding</w:t>
      </w:r>
      <w:proofErr w:type="spellEnd"/>
      <w:r>
        <w:rPr>
          <w:rFonts w:ascii="Calibri" w:hAnsi="Calibri"/>
          <w:b/>
        </w:rPr>
        <w:t xml:space="preserve"> Concepta III », le spécialiste pour portes coulissantes étend les possibilités d’équipement offertes par la famille de ferrures Pocket et propose une vaste gamme pour un design de mobilier homogène. </w:t>
      </w:r>
    </w:p>
    <w:p w14:paraId="70B15167" w14:textId="77777777" w:rsidR="00A5725A" w:rsidRDefault="00A5725A" w:rsidP="00C76EAB">
      <w:pPr>
        <w:rPr>
          <w:rFonts w:ascii="Calibri" w:hAnsi="Calibri" w:cs="Calibri"/>
          <w:b/>
          <w:bCs/>
        </w:rPr>
      </w:pPr>
    </w:p>
    <w:p w14:paraId="7C1BBDFE" w14:textId="67F8C7E4" w:rsidR="00A5725A" w:rsidRPr="00A5725A" w:rsidRDefault="00FE68CA" w:rsidP="00C76EAB">
      <w:pPr>
        <w:rPr>
          <w:rFonts w:ascii="Calibri" w:hAnsi="Calibri" w:cs="Calibri"/>
        </w:rPr>
      </w:pPr>
      <w:r>
        <w:rPr>
          <w:rFonts w:ascii="Calibri" w:hAnsi="Calibri"/>
        </w:rPr>
        <w:t xml:space="preserve">Hawa a conçu « Concepta III 15 » pour les meubles compacts hauts, superposés et bas de cuisine, pour les petits meubles de salle de bains ou les solutions pour la buanderie permettant de dissimuler une machine à laver ou un sèche-linge, ainsi que pour des applications dans le domaine du caravaning ou en hôtel, par exemple sous forme de minibar ou d’espace café-thé. Cette ferrure dans la nouvelle catégorie de poids de quatre à 15 kilogrammes, est conçue pour des façades d’une hauteur entre 600 et 1 400 mm et d’une largeur entre 350 et 700 mm, ainsi que pour des épaisseurs de porte de 18 bis 26 </w:t>
      </w:r>
      <w:proofErr w:type="spellStart"/>
      <w:r>
        <w:rPr>
          <w:rFonts w:ascii="Calibri" w:hAnsi="Calibri"/>
        </w:rPr>
        <w:t>mm.</w:t>
      </w:r>
      <w:proofErr w:type="spellEnd"/>
    </w:p>
    <w:p w14:paraId="2D320B73" w14:textId="77777777" w:rsidR="003064C2" w:rsidRPr="003064C2" w:rsidRDefault="003064C2" w:rsidP="00C76EAB">
      <w:pPr>
        <w:rPr>
          <w:rFonts w:ascii="Calibri" w:hAnsi="Calibri" w:cs="Calibri"/>
        </w:rPr>
      </w:pPr>
    </w:p>
    <w:p w14:paraId="7D41C4A9" w14:textId="15CA09C9" w:rsidR="00A339BC" w:rsidRDefault="002C63AD" w:rsidP="00C76EAB">
      <w:pPr>
        <w:rPr>
          <w:rFonts w:ascii="Calibri" w:hAnsi="Calibri"/>
        </w:rPr>
      </w:pPr>
      <w:r>
        <w:rPr>
          <w:rFonts w:ascii="Calibri" w:hAnsi="Calibri"/>
        </w:rPr>
        <w:t>La « petite Concepta » fonctionne de la même manière que l’ensemble de la famille de ferrures Pocket : les façades ouvertes peuvent être entièrement escamotées sur le côté. Ce repliement dans cet espace réduit permet d’accéder à l’ensemble de l’intérieur de l’armoire, sans que la porte ne gêne. D’une simple pression sur le modèle sans poignée ou à l’aide d’une poignée, elle peut ressortir et se refermer pour obtenir une façade affleurante.</w:t>
      </w:r>
    </w:p>
    <w:p w14:paraId="1BB6B5FF" w14:textId="77777777" w:rsidR="000442A0" w:rsidRDefault="000442A0" w:rsidP="00C76EAB">
      <w:pPr>
        <w:rPr>
          <w:rFonts w:ascii="Calibri" w:hAnsi="Calibri"/>
        </w:rPr>
      </w:pPr>
    </w:p>
    <w:p w14:paraId="3EBCEE0D" w14:textId="77777777" w:rsidR="000442A0" w:rsidRDefault="000442A0" w:rsidP="00C76EAB">
      <w:pPr>
        <w:rPr>
          <w:rFonts w:ascii="Calibri" w:hAnsi="Calibri"/>
        </w:rPr>
      </w:pPr>
    </w:p>
    <w:p w14:paraId="6E9005BF" w14:textId="77777777" w:rsidR="000442A0" w:rsidRDefault="000442A0" w:rsidP="00C76EAB">
      <w:pPr>
        <w:rPr>
          <w:rFonts w:ascii="Calibri" w:hAnsi="Calibri" w:cs="Calibri"/>
        </w:rPr>
      </w:pPr>
    </w:p>
    <w:p w14:paraId="1DC54780" w14:textId="77777777" w:rsidR="005B6FFD" w:rsidRDefault="005B6FFD" w:rsidP="00C76EAB">
      <w:pPr>
        <w:rPr>
          <w:rFonts w:ascii="Calibri" w:hAnsi="Calibri" w:cs="Calibri"/>
        </w:rPr>
      </w:pPr>
    </w:p>
    <w:p w14:paraId="7B2D1844" w14:textId="77777777" w:rsidR="002D506D" w:rsidRDefault="002D506D" w:rsidP="00C76EAB">
      <w:pPr>
        <w:rPr>
          <w:rFonts w:ascii="Calibri" w:hAnsi="Calibri" w:cs="Calibri"/>
          <w:b/>
          <w:bCs/>
        </w:rPr>
      </w:pPr>
      <w:r>
        <w:rPr>
          <w:rFonts w:ascii="Calibri" w:hAnsi="Calibri"/>
          <w:b/>
        </w:rPr>
        <w:lastRenderedPageBreak/>
        <w:t>Moins d’efforts et plus de confort lors du repliement</w:t>
      </w:r>
    </w:p>
    <w:p w14:paraId="118530EE" w14:textId="77777777" w:rsidR="00C76EAB" w:rsidRDefault="00C76EAB" w:rsidP="00C76EAB">
      <w:pPr>
        <w:rPr>
          <w:rFonts w:ascii="Calibri" w:hAnsi="Calibri" w:cs="Calibri"/>
          <w:b/>
          <w:bCs/>
        </w:rPr>
      </w:pPr>
    </w:p>
    <w:p w14:paraId="6A38D644" w14:textId="261CBFFD" w:rsidR="00F44182" w:rsidRDefault="0072693D" w:rsidP="00C76EAB">
      <w:pPr>
        <w:rPr>
          <w:rFonts w:ascii="Calibri" w:hAnsi="Calibri" w:cs="Calibri"/>
        </w:rPr>
      </w:pPr>
      <w:r>
        <w:rPr>
          <w:rFonts w:ascii="Calibri" w:hAnsi="Calibri"/>
        </w:rPr>
        <w:t xml:space="preserve">Les composants optimisés et nouvellement développés de « Hawa </w:t>
      </w:r>
      <w:proofErr w:type="spellStart"/>
      <w:r>
        <w:rPr>
          <w:rFonts w:ascii="Calibri" w:hAnsi="Calibri"/>
        </w:rPr>
        <w:t>Folding</w:t>
      </w:r>
      <w:proofErr w:type="spellEnd"/>
      <w:r>
        <w:rPr>
          <w:rFonts w:ascii="Calibri" w:hAnsi="Calibri"/>
        </w:rPr>
        <w:t xml:space="preserve"> Concepta III » garantissent désormais un meilleur confort d’utilisation, un montage aisé ainsi qu’une orientation nette et précise. </w:t>
      </w:r>
    </w:p>
    <w:p w14:paraId="4E8898DA" w14:textId="77777777" w:rsidR="005B6FFD" w:rsidRDefault="005B6FFD" w:rsidP="00C76EAB">
      <w:pPr>
        <w:rPr>
          <w:rFonts w:ascii="Calibri" w:hAnsi="Calibri" w:cs="Calibri"/>
        </w:rPr>
      </w:pPr>
    </w:p>
    <w:p w14:paraId="0268EFB2" w14:textId="3E200241" w:rsidR="00F44182" w:rsidRDefault="00930422" w:rsidP="00C76EAB">
      <w:pPr>
        <w:rPr>
          <w:rFonts w:ascii="Calibri" w:hAnsi="Calibri" w:cs="Calibri"/>
        </w:rPr>
      </w:pPr>
      <w:r>
        <w:rPr>
          <w:rFonts w:ascii="Calibri" w:hAnsi="Calibri"/>
        </w:rPr>
        <w:t>Hawa a accordé une attention particulière à la pose dans les armoires superposées. Afin de créer des façades de meubles harmonieuses et continues, avec des joints filigranés, une solution a été mise au point qui ne nécessite aucun fraisage dans le plan de travail. Le joint entre la façade et le plan de travail ne mesure que 3 à 6 mm grâce à une nouvelle solution de rails de guidage. La façade peut être conçue de manière à cacher ou à mettre en valeur le bord du plan de travail.</w:t>
      </w:r>
    </w:p>
    <w:p w14:paraId="523867F5" w14:textId="77777777" w:rsidR="005B6FFD" w:rsidRPr="009A0749" w:rsidRDefault="005B6FFD" w:rsidP="00C76EAB">
      <w:pPr>
        <w:rPr>
          <w:rFonts w:ascii="Calibri" w:hAnsi="Calibri" w:cs="Calibri"/>
        </w:rPr>
      </w:pPr>
    </w:p>
    <w:p w14:paraId="54FA24A1" w14:textId="0B51C596" w:rsidR="00425234" w:rsidRDefault="00F23B50" w:rsidP="00C76EAB">
      <w:pPr>
        <w:rPr>
          <w:rFonts w:ascii="Calibri" w:hAnsi="Calibri" w:cs="Calibri"/>
        </w:rPr>
      </w:pPr>
      <w:r>
        <w:rPr>
          <w:rFonts w:ascii="Calibri" w:hAnsi="Calibri"/>
        </w:rPr>
        <w:t xml:space="preserve">Les nouveautés de la famille de ferrures Pocket, que Hawa présente pour la première fois au salon </w:t>
      </w:r>
      <w:proofErr w:type="spellStart"/>
      <w:r>
        <w:rPr>
          <w:rFonts w:ascii="Calibri" w:hAnsi="Calibri"/>
        </w:rPr>
        <w:t>Sicam</w:t>
      </w:r>
      <w:proofErr w:type="spellEnd"/>
      <w:r>
        <w:rPr>
          <w:rFonts w:ascii="Calibri" w:hAnsi="Calibri"/>
        </w:rPr>
        <w:t xml:space="preserve"> 2026 à Pordenone, offrent des possibilités nettement plus étendues pour un design de mobilier harmonieux, affleurant, avec des joints uniformes et des portes escamotables peu encombrantes. La famille « Hawa Concepta III » convient désormais aussi bien aux petites façades qu’aux structures de grande surface jusqu’à trois mètres de largeur et 2,70 mètres de hauteur. Quelles que soient la hauteur et la largeur, le système permet de concevoir des façades de meubles à une, deux ou plusieurs portes, avec ou sans paroi médiane, des façades encastrées ou en applique, ainsi que des variantes sans poignée Push-to-open ou des versions Pull avec poignée. Toutes ces nouveautés peuvent dès à présent être configurées avec le configurateur Hawa. Le client recevra des kits de ferrures configurés et adaptés à sa commande.</w:t>
      </w:r>
    </w:p>
    <w:p w14:paraId="4939550C" w14:textId="77777777" w:rsidR="006914DB" w:rsidRDefault="006914DB" w:rsidP="00C76EAB">
      <w:pPr>
        <w:rPr>
          <w:rFonts w:ascii="Calibri" w:hAnsi="Calibri" w:cs="Calibri"/>
        </w:rPr>
      </w:pPr>
    </w:p>
    <w:p w14:paraId="375EEA03" w14:textId="77777777" w:rsidR="00425234" w:rsidRDefault="00425234" w:rsidP="00C76EAB">
      <w:pPr>
        <w:rPr>
          <w:rFonts w:ascii="Calibri" w:hAnsi="Calibri" w:cs="Calibri"/>
        </w:rPr>
      </w:pPr>
    </w:p>
    <w:p w14:paraId="0BE802E0" w14:textId="196E4A87" w:rsidR="00425234" w:rsidRPr="00804F6F" w:rsidRDefault="00425234" w:rsidP="002C63AD">
      <w:pPr>
        <w:rPr>
          <w:rFonts w:ascii="Calibri" w:hAnsi="Calibri" w:cs="Calibri"/>
        </w:rPr>
      </w:pPr>
      <w:r>
        <w:rPr>
          <w:rFonts w:ascii="Calibri" w:hAnsi="Calibri"/>
        </w:rPr>
        <w:t xml:space="preserve">Légende 1 : </w:t>
      </w:r>
      <w:r>
        <w:t>« Hawa Concepta III 15 » est la solution Pocket pour les armoires compactes avec de petites façades jusqu’à 15 kilogrammes.</w:t>
      </w:r>
      <w:r>
        <w:rPr>
          <w:rFonts w:ascii="Calibri" w:hAnsi="Calibri"/>
        </w:rPr>
        <w:t xml:space="preserve"> Photo : Hawa </w:t>
      </w:r>
      <w:proofErr w:type="spellStart"/>
      <w:r>
        <w:rPr>
          <w:rFonts w:ascii="Calibri" w:hAnsi="Calibri"/>
        </w:rPr>
        <w:t>Sliding</w:t>
      </w:r>
      <w:proofErr w:type="spellEnd"/>
      <w:r>
        <w:rPr>
          <w:rFonts w:ascii="Calibri" w:hAnsi="Calibri"/>
        </w:rPr>
        <w:t xml:space="preserve"> Solutions AG</w:t>
      </w:r>
    </w:p>
    <w:p w14:paraId="6DA7864E" w14:textId="77777777" w:rsidR="00425234" w:rsidRPr="00804F6F" w:rsidRDefault="00425234" w:rsidP="002C63AD">
      <w:pPr>
        <w:rPr>
          <w:rFonts w:ascii="Calibri" w:hAnsi="Calibri" w:cs="Calibri"/>
        </w:rPr>
      </w:pPr>
    </w:p>
    <w:p w14:paraId="597F7631" w14:textId="46AC68C5" w:rsidR="00425234" w:rsidRPr="00425234" w:rsidRDefault="00425234" w:rsidP="002C63AD">
      <w:pPr>
        <w:rPr>
          <w:rFonts w:ascii="Calibri" w:hAnsi="Calibri" w:cs="Calibri"/>
        </w:rPr>
      </w:pPr>
      <w:r>
        <w:rPr>
          <w:rFonts w:ascii="Calibri" w:hAnsi="Calibri"/>
        </w:rPr>
        <w:t xml:space="preserve">Légende 2 : « Hawa </w:t>
      </w:r>
      <w:proofErr w:type="spellStart"/>
      <w:r>
        <w:rPr>
          <w:rFonts w:ascii="Calibri" w:hAnsi="Calibri"/>
        </w:rPr>
        <w:t>Folding</w:t>
      </w:r>
      <w:proofErr w:type="spellEnd"/>
      <w:r>
        <w:rPr>
          <w:rFonts w:ascii="Calibri" w:hAnsi="Calibri"/>
        </w:rPr>
        <w:t xml:space="preserve"> Concepta III » profite de composants optimisés et nouvellement développés. Ils simplifient le montage, améliorent le confort d’utilisation et embellissent l’image générale en matière de joints. Cela vaut tout particulièrement pour les armoires superposées, pour lesquelles il n’est désormais plus nécessaire d’usiner le plan de travail. Photo : Hawa </w:t>
      </w:r>
      <w:proofErr w:type="spellStart"/>
      <w:r>
        <w:rPr>
          <w:rFonts w:ascii="Calibri" w:hAnsi="Calibri"/>
        </w:rPr>
        <w:t>Sliding</w:t>
      </w:r>
      <w:proofErr w:type="spellEnd"/>
      <w:r>
        <w:rPr>
          <w:rFonts w:ascii="Calibri" w:hAnsi="Calibri"/>
        </w:rPr>
        <w:t xml:space="preserve"> Solutions AG</w:t>
      </w:r>
    </w:p>
    <w:sectPr w:rsidR="00425234" w:rsidRPr="00425234" w:rsidSect="00DD0F27">
      <w:headerReference w:type="default" r:id="rId6"/>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1D6B3" w14:textId="77777777" w:rsidR="00D2459D" w:rsidRDefault="00D2459D" w:rsidP="00C76EAB">
      <w:r>
        <w:separator/>
      </w:r>
    </w:p>
  </w:endnote>
  <w:endnote w:type="continuationSeparator" w:id="0">
    <w:p w14:paraId="010CA4E9" w14:textId="77777777" w:rsidR="00D2459D" w:rsidRDefault="00D2459D" w:rsidP="00C7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547BC" w14:textId="77777777" w:rsidR="00D2459D" w:rsidRDefault="00D2459D" w:rsidP="00C76EAB">
      <w:r>
        <w:separator/>
      </w:r>
    </w:p>
  </w:footnote>
  <w:footnote w:type="continuationSeparator" w:id="0">
    <w:p w14:paraId="7B148948" w14:textId="77777777" w:rsidR="00D2459D" w:rsidRDefault="00D2459D" w:rsidP="00C76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04BF" w14:textId="19DC2A25" w:rsidR="00C76EAB" w:rsidRPr="00C76EAB" w:rsidRDefault="00C76EAB" w:rsidP="00C76EAB">
    <w:pPr>
      <w:pStyle w:val="Kopfzeile"/>
      <w:jc w:val="right"/>
      <w:rPr>
        <w:rFonts w:ascii="Calibri" w:hAnsi="Calibri" w:cs="Calibri"/>
        <w:sz w:val="20"/>
        <w:szCs w:val="20"/>
      </w:rPr>
    </w:pPr>
    <w:r>
      <w:rPr>
        <w:rFonts w:ascii="Calibri" w:hAnsi="Calibri"/>
        <w:sz w:val="20"/>
      </w:rPr>
      <w:t>N° PR 10028-0039-09/2026</w:t>
    </w:r>
  </w:p>
  <w:p w14:paraId="6D5CC789" w14:textId="77777777" w:rsidR="00C76EAB" w:rsidRPr="00C76EAB" w:rsidRDefault="00C76EAB" w:rsidP="00C76EAB">
    <w:pPr>
      <w:pStyle w:val="Kopfzeile"/>
      <w:jc w:val="right"/>
      <w:rPr>
        <w:rFonts w:ascii="Calibri" w:hAnsi="Calibri" w:cs="Calibri"/>
        <w:sz w:val="20"/>
        <w:szCs w:val="20"/>
      </w:rPr>
    </w:pPr>
    <w:r>
      <w:rPr>
        <w:rFonts w:ascii="Calibri" w:hAnsi="Calibri"/>
        <w:sz w:val="20"/>
      </w:rPr>
      <w:t>Une vaste gamme pour un design de mobilier homogène</w:t>
    </w:r>
  </w:p>
  <w:p w14:paraId="2948333F" w14:textId="213F678A" w:rsidR="00C76EAB" w:rsidRPr="00C76EAB" w:rsidRDefault="00C76EAB" w:rsidP="00C76EAB">
    <w:pPr>
      <w:pStyle w:val="Kopfzeile"/>
      <w:jc w:val="right"/>
      <w:rPr>
        <w:rFonts w:ascii="Calibri" w:hAnsi="Calibri" w:cs="Calibri"/>
        <w:sz w:val="20"/>
        <w:szCs w:val="20"/>
      </w:rPr>
    </w:pPr>
    <w:r>
      <w:rPr>
        <w:rFonts w:ascii="Calibri" w:hAnsi="Calibri"/>
        <w:sz w:val="20"/>
      </w:rPr>
      <w:t xml:space="preserve">La famille de ferrures Pocket de Hawa s’agrandit – Page </w:t>
    </w:r>
    <w:r w:rsidRPr="00C76EAB">
      <w:rPr>
        <w:rFonts w:ascii="Calibri" w:hAnsi="Calibri" w:cs="Calibri"/>
        <w:sz w:val="20"/>
      </w:rPr>
      <w:fldChar w:fldCharType="begin"/>
    </w:r>
    <w:r w:rsidRPr="00C76EAB">
      <w:rPr>
        <w:rFonts w:ascii="Calibri" w:hAnsi="Calibri" w:cs="Calibri"/>
        <w:sz w:val="20"/>
      </w:rPr>
      <w:instrText>PAGE   \* MERGEFORMAT</w:instrText>
    </w:r>
    <w:r w:rsidRPr="00C76EAB">
      <w:rPr>
        <w:rFonts w:ascii="Calibri" w:hAnsi="Calibri" w:cs="Calibri"/>
        <w:sz w:val="20"/>
      </w:rPr>
      <w:fldChar w:fldCharType="separate"/>
    </w:r>
    <w:r w:rsidRPr="00C76EAB">
      <w:rPr>
        <w:rFonts w:ascii="Calibri" w:hAnsi="Calibri" w:cs="Calibri"/>
        <w:sz w:val="20"/>
      </w:rPr>
      <w:t>1</w:t>
    </w:r>
    <w:r w:rsidRPr="00C76EAB">
      <w:rPr>
        <w:rFonts w:ascii="Calibri" w:hAnsi="Calibri" w:cs="Calibri"/>
        <w:sz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BC"/>
    <w:rsid w:val="000442A0"/>
    <w:rsid w:val="00081902"/>
    <w:rsid w:val="000C22D2"/>
    <w:rsid w:val="000E2044"/>
    <w:rsid w:val="001143AC"/>
    <w:rsid w:val="001A6FC3"/>
    <w:rsid w:val="001D0F0C"/>
    <w:rsid w:val="00296209"/>
    <w:rsid w:val="002C0CA3"/>
    <w:rsid w:val="002C63AD"/>
    <w:rsid w:val="002D506D"/>
    <w:rsid w:val="003064C2"/>
    <w:rsid w:val="0041192E"/>
    <w:rsid w:val="00425234"/>
    <w:rsid w:val="00435C89"/>
    <w:rsid w:val="00475AE3"/>
    <w:rsid w:val="0049591C"/>
    <w:rsid w:val="004A4716"/>
    <w:rsid w:val="004A5597"/>
    <w:rsid w:val="004B7424"/>
    <w:rsid w:val="004C17A3"/>
    <w:rsid w:val="004F1475"/>
    <w:rsid w:val="0051719F"/>
    <w:rsid w:val="00540213"/>
    <w:rsid w:val="00546B3C"/>
    <w:rsid w:val="00594306"/>
    <w:rsid w:val="005B6FFD"/>
    <w:rsid w:val="005D7BB7"/>
    <w:rsid w:val="00625E62"/>
    <w:rsid w:val="006914DB"/>
    <w:rsid w:val="0072693D"/>
    <w:rsid w:val="007B2628"/>
    <w:rsid w:val="00804F6F"/>
    <w:rsid w:val="008231E1"/>
    <w:rsid w:val="00870D44"/>
    <w:rsid w:val="00881299"/>
    <w:rsid w:val="008A0CB8"/>
    <w:rsid w:val="008D7CE4"/>
    <w:rsid w:val="00930422"/>
    <w:rsid w:val="009A0749"/>
    <w:rsid w:val="00A31A58"/>
    <w:rsid w:val="00A339BC"/>
    <w:rsid w:val="00A5725A"/>
    <w:rsid w:val="00A839AC"/>
    <w:rsid w:val="00AB0955"/>
    <w:rsid w:val="00AC1525"/>
    <w:rsid w:val="00B30F6E"/>
    <w:rsid w:val="00B509D1"/>
    <w:rsid w:val="00B608F5"/>
    <w:rsid w:val="00B82A04"/>
    <w:rsid w:val="00BA7F82"/>
    <w:rsid w:val="00C06036"/>
    <w:rsid w:val="00C43EEB"/>
    <w:rsid w:val="00C7635A"/>
    <w:rsid w:val="00C76EAB"/>
    <w:rsid w:val="00CA3593"/>
    <w:rsid w:val="00CA7980"/>
    <w:rsid w:val="00CC5205"/>
    <w:rsid w:val="00D013C6"/>
    <w:rsid w:val="00D2459D"/>
    <w:rsid w:val="00D37DEA"/>
    <w:rsid w:val="00D934F0"/>
    <w:rsid w:val="00DC1539"/>
    <w:rsid w:val="00DD0F27"/>
    <w:rsid w:val="00E52293"/>
    <w:rsid w:val="00E906D8"/>
    <w:rsid w:val="00EC47A5"/>
    <w:rsid w:val="00EF368E"/>
    <w:rsid w:val="00F23B50"/>
    <w:rsid w:val="00F44182"/>
    <w:rsid w:val="00F74A22"/>
    <w:rsid w:val="00F929B4"/>
    <w:rsid w:val="00F93E84"/>
    <w:rsid w:val="00FA7136"/>
    <w:rsid w:val="00FB542C"/>
    <w:rsid w:val="00FE68CA"/>
    <w:rsid w:val="00FE6926"/>
    <w:rsid w:val="00FF0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E2D0"/>
  <w15:chartTrackingRefBased/>
  <w15:docId w15:val="{454C8B05-4876-41D3-A6DA-8CF710D5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33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33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339B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339B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339B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339B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339B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339B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339B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39B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339B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339B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339B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339B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339B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339B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339B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339BC"/>
    <w:rPr>
      <w:rFonts w:eastAsiaTheme="majorEastAsia" w:cstheme="majorBidi"/>
      <w:color w:val="272727" w:themeColor="text1" w:themeTint="D8"/>
    </w:rPr>
  </w:style>
  <w:style w:type="paragraph" w:styleId="Titel">
    <w:name w:val="Title"/>
    <w:basedOn w:val="Standard"/>
    <w:next w:val="Standard"/>
    <w:link w:val="TitelZchn"/>
    <w:uiPriority w:val="10"/>
    <w:qFormat/>
    <w:rsid w:val="00A339B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39B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339B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339B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339B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339BC"/>
    <w:rPr>
      <w:i/>
      <w:iCs/>
      <w:color w:val="404040" w:themeColor="text1" w:themeTint="BF"/>
    </w:rPr>
  </w:style>
  <w:style w:type="paragraph" w:styleId="Listenabsatz">
    <w:name w:val="List Paragraph"/>
    <w:basedOn w:val="Standard"/>
    <w:uiPriority w:val="34"/>
    <w:qFormat/>
    <w:rsid w:val="00A339BC"/>
    <w:pPr>
      <w:ind w:left="720"/>
      <w:contextualSpacing/>
    </w:pPr>
  </w:style>
  <w:style w:type="character" w:styleId="IntensiveHervorhebung">
    <w:name w:val="Intense Emphasis"/>
    <w:basedOn w:val="Absatz-Standardschriftart"/>
    <w:uiPriority w:val="21"/>
    <w:qFormat/>
    <w:rsid w:val="00A339BC"/>
    <w:rPr>
      <w:i/>
      <w:iCs/>
      <w:color w:val="0F4761" w:themeColor="accent1" w:themeShade="BF"/>
    </w:rPr>
  </w:style>
  <w:style w:type="paragraph" w:styleId="IntensivesZitat">
    <w:name w:val="Intense Quote"/>
    <w:basedOn w:val="Standard"/>
    <w:next w:val="Standard"/>
    <w:link w:val="IntensivesZitatZchn"/>
    <w:uiPriority w:val="30"/>
    <w:qFormat/>
    <w:rsid w:val="00A33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339BC"/>
    <w:rPr>
      <w:i/>
      <w:iCs/>
      <w:color w:val="0F4761" w:themeColor="accent1" w:themeShade="BF"/>
    </w:rPr>
  </w:style>
  <w:style w:type="character" w:styleId="IntensiverVerweis">
    <w:name w:val="Intense Reference"/>
    <w:basedOn w:val="Absatz-Standardschriftart"/>
    <w:uiPriority w:val="32"/>
    <w:qFormat/>
    <w:rsid w:val="00A339BC"/>
    <w:rPr>
      <w:b/>
      <w:bCs/>
      <w:smallCaps/>
      <w:color w:val="0F4761" w:themeColor="accent1" w:themeShade="BF"/>
      <w:spacing w:val="5"/>
    </w:rPr>
  </w:style>
  <w:style w:type="paragraph" w:styleId="Kopfzeile">
    <w:name w:val="header"/>
    <w:basedOn w:val="Standard"/>
    <w:link w:val="KopfzeileZchn"/>
    <w:uiPriority w:val="99"/>
    <w:unhideWhenUsed/>
    <w:rsid w:val="00C76EAB"/>
    <w:pPr>
      <w:tabs>
        <w:tab w:val="center" w:pos="4536"/>
        <w:tab w:val="right" w:pos="9072"/>
      </w:tabs>
    </w:pPr>
  </w:style>
  <w:style w:type="character" w:customStyle="1" w:styleId="KopfzeileZchn">
    <w:name w:val="Kopfzeile Zchn"/>
    <w:basedOn w:val="Absatz-Standardschriftart"/>
    <w:link w:val="Kopfzeile"/>
    <w:uiPriority w:val="99"/>
    <w:rsid w:val="00C76EAB"/>
  </w:style>
  <w:style w:type="paragraph" w:styleId="Fuzeile">
    <w:name w:val="footer"/>
    <w:basedOn w:val="Standard"/>
    <w:link w:val="FuzeileZchn"/>
    <w:uiPriority w:val="99"/>
    <w:unhideWhenUsed/>
    <w:rsid w:val="00C76EAB"/>
    <w:pPr>
      <w:tabs>
        <w:tab w:val="center" w:pos="4536"/>
        <w:tab w:val="right" w:pos="9072"/>
      </w:tabs>
    </w:pPr>
  </w:style>
  <w:style w:type="character" w:customStyle="1" w:styleId="FuzeileZchn">
    <w:name w:val="Fußzeile Zchn"/>
    <w:basedOn w:val="Absatz-Standardschriftart"/>
    <w:link w:val="Fuzeile"/>
    <w:uiPriority w:val="99"/>
    <w:rsid w:val="00C76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3591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Bianca Hannemann</cp:lastModifiedBy>
  <cp:revision>6</cp:revision>
  <dcterms:created xsi:type="dcterms:W3CDTF">2026-09-16T15:20:00Z</dcterms:created>
  <dcterms:modified xsi:type="dcterms:W3CDTF">2026-09-30T19:44:00Z</dcterms:modified>
</cp:coreProperties>
</file>