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AE2F5" w14:textId="0A1A20F4" w:rsidR="00C76EAB" w:rsidRPr="00C76EAB" w:rsidRDefault="00C76EAB">
      <w:pPr>
        <w:rPr>
          <w:sz w:val="20"/>
          <w:szCs w:val="20"/>
          <w:rFonts w:ascii="Calibri" w:hAnsi="Calibri" w:cs="Calibri"/>
        </w:rPr>
      </w:pPr>
      <w:r>
        <w:rPr>
          <w:sz w:val="20"/>
          <w:rFonts w:ascii="Calibri" w:hAnsi="Calibri"/>
        </w:rPr>
        <w:t xml:space="preserve">N. PR 10028-0039-09/2026</w:t>
      </w:r>
    </w:p>
    <w:p w14:paraId="71709C0A" w14:textId="77777777" w:rsidR="00C76EAB" w:rsidRDefault="00C76EAB">
      <w:pPr>
        <w:rPr>
          <w:rFonts w:ascii="Calibri" w:hAnsi="Calibri" w:cs="Calibri"/>
          <w:b/>
          <w:bCs/>
          <w:sz w:val="28"/>
          <w:szCs w:val="28"/>
        </w:rPr>
      </w:pPr>
    </w:p>
    <w:p w14:paraId="76371EF6" w14:textId="41519291" w:rsidR="008A0CB8" w:rsidRDefault="008A0CB8">
      <w:pPr>
        <w:rPr>
          <w:b/>
          <w:bCs/>
          <w:sz w:val="28"/>
          <w:szCs w:val="28"/>
          <w:rFonts w:ascii="Calibri" w:hAnsi="Calibri" w:cs="Calibri"/>
        </w:rPr>
      </w:pPr>
      <w:r>
        <w:rPr>
          <w:b/>
          <w:sz w:val="28"/>
          <w:rFonts w:ascii="Calibri" w:hAnsi="Calibri"/>
        </w:rPr>
        <w:t xml:space="preserve">Ampia base per un design d’arredo coerente</w:t>
      </w:r>
    </w:p>
    <w:p w14:paraId="4C740BAA" w14:textId="751D0AE0" w:rsidR="00A339BC" w:rsidRPr="00A339BC" w:rsidRDefault="00A339BC">
      <w:pPr>
        <w:rPr>
          <w:b/>
          <w:bCs/>
          <w:rFonts w:ascii="Calibri" w:hAnsi="Calibri" w:cs="Calibri"/>
        </w:rPr>
      </w:pPr>
      <w:r>
        <w:rPr>
          <w:b/>
          <w:rFonts w:ascii="Calibri" w:hAnsi="Calibri"/>
        </w:rPr>
        <w:t xml:space="preserve">La famiglia di guarniture Pocket di Hawa si arricchisce di nuovi modelli</w:t>
      </w:r>
    </w:p>
    <w:p w14:paraId="1D74346D" w14:textId="77777777" w:rsidR="00A339BC" w:rsidRPr="00A339BC" w:rsidRDefault="00A339BC">
      <w:pPr>
        <w:rPr>
          <w:rFonts w:ascii="Calibri" w:hAnsi="Calibri" w:cs="Calibri"/>
        </w:rPr>
      </w:pPr>
    </w:p>
    <w:p w14:paraId="330FB911" w14:textId="2237A53A" w:rsidR="00A5725A" w:rsidRDefault="001D0F0C" w:rsidP="00C76EAB">
      <w:pPr>
        <w:rPr>
          <w:b/>
          <w:bCs/>
          <w:rFonts w:ascii="Calibri" w:hAnsi="Calibri" w:cs="Calibri"/>
        </w:rPr>
      </w:pPr>
      <w:r>
        <w:rPr>
          <w:b/>
          <w:rFonts w:ascii="Calibri" w:hAnsi="Calibri"/>
        </w:rPr>
        <w:t xml:space="preserve">Quando si desidera sfruttare in modo economico e multifunzionale spazi ridotti, le guarniture per ante a scomparsa girevoli e a libro dispiegano tutto il loro potenziale.</w:t>
      </w:r>
      <w:r>
        <w:rPr>
          <w:b/>
          <w:rFonts w:ascii="Calibri" w:hAnsi="Calibri"/>
        </w:rPr>
        <w:t xml:space="preserve"> </w:t>
      </w:r>
      <w:r>
        <w:rPr>
          <w:b/>
          <w:rFonts w:ascii="Calibri" w:hAnsi="Calibri"/>
        </w:rPr>
        <w:t xml:space="preserve">Infatti garantiscono che le ante aperte non intralcino perché scompaiono in una cavità laterale risparmiando spazio.</w:t>
      </w:r>
      <w:r>
        <w:rPr>
          <w:b/>
          <w:rFonts w:ascii="Calibri" w:hAnsi="Calibri"/>
        </w:rPr>
        <w:t xml:space="preserve"> </w:t>
      </w:r>
      <w:r>
        <w:rPr>
          <w:b/>
          <w:rFonts w:ascii="Calibri" w:hAnsi="Calibri"/>
        </w:rPr>
        <w:t xml:space="preserve">Ora Hawa Sliding Solutions AG estende il proprio sistema “Hawa Concepta III” proponendo una soluzione per armadi con piccoli frontali fino a 15 chilogrammi.</w:t>
      </w:r>
      <w:r>
        <w:rPr>
          <w:b/>
          <w:rFonts w:ascii="Calibri" w:hAnsi="Calibri"/>
        </w:rPr>
        <w:t xml:space="preserve"> </w:t>
      </w:r>
      <w:r>
        <w:rPr>
          <w:b/>
          <w:rFonts w:ascii="Calibri" w:hAnsi="Calibri"/>
        </w:rPr>
        <w:t xml:space="preserve">Oltre ad aggiornare “Hawa Folding Concepta III”, lo specialista in ferramenta scorrevoli amplia le possibilità di allestimento con la famiglia di guarniture Pocket, consentendo una ampia base per un design d’arredo coerente.</w:t>
      </w:r>
      <w:r>
        <w:rPr>
          <w:b/>
          <w:rFonts w:ascii="Calibri" w:hAnsi="Calibri"/>
        </w:rPr>
        <w:t xml:space="preserve"> </w:t>
      </w:r>
    </w:p>
    <w:p w14:paraId="70B15167" w14:textId="77777777" w:rsidR="00A5725A" w:rsidRDefault="00A5725A" w:rsidP="00C76EAB">
      <w:pPr>
        <w:rPr>
          <w:rFonts w:ascii="Calibri" w:hAnsi="Calibri" w:cs="Calibri"/>
          <w:b/>
          <w:bCs/>
        </w:rPr>
      </w:pPr>
    </w:p>
    <w:p w14:paraId="7C1BBDFE" w14:textId="67F8C7E4" w:rsidR="00A5725A" w:rsidRPr="00A5725A" w:rsidRDefault="00FE68CA" w:rsidP="00C76EAB">
      <w:pPr>
        <w:rPr>
          <w:rFonts w:ascii="Calibri" w:hAnsi="Calibri" w:cs="Calibri"/>
        </w:rPr>
      </w:pPr>
      <w:r>
        <w:rPr>
          <w:rFonts w:ascii="Calibri" w:hAnsi="Calibri"/>
        </w:rPr>
        <w:t xml:space="preserve">Hawa ha sviluppato “Concepta III 15” per mobili da cucina compatti (pensili, armadi sovrapposti e mobili base), per piccoli mobili bagno o soluzioni nel ripostiglio, per nascondere la lavatrice o l’asciugatrice, per applicazioni nel settore del caravanning o in ambito alberghiero, ad esempio minibar o angolini per caffè e tè.</w:t>
      </w:r>
      <w:r>
        <w:rPr>
          <w:rFonts w:ascii="Calibri" w:hAnsi="Calibri"/>
        </w:rPr>
        <w:t xml:space="preserve"> </w:t>
      </w:r>
      <w:r>
        <w:rPr>
          <w:rFonts w:ascii="Calibri" w:hAnsi="Calibri"/>
        </w:rPr>
        <w:t xml:space="preserve">La ferramenta, nella nuova classe di peso da quattro fino a 15 chilogrammi, è progettata per frontali di altezza compresa tra 600 e 1400 mm e larghezza tra 350 e 700 mm, nonché per spessori anta compresi tra 18 e 26 mm.</w:t>
      </w:r>
    </w:p>
    <w:p w14:paraId="2D320B73" w14:textId="77777777" w:rsidR="003064C2" w:rsidRPr="003064C2" w:rsidRDefault="003064C2" w:rsidP="00C76EAB">
      <w:pPr>
        <w:rPr>
          <w:rFonts w:ascii="Calibri" w:hAnsi="Calibri" w:cs="Calibri"/>
        </w:rPr>
      </w:pPr>
    </w:p>
    <w:p w14:paraId="7D41C4A9" w14:textId="15CA09C9" w:rsidR="00A339BC" w:rsidRDefault="002C63AD" w:rsidP="00C76EAB">
      <w:pPr>
        <w:rPr>
          <w:rFonts w:ascii="Calibri" w:hAnsi="Calibri" w:cs="Calibri"/>
        </w:rPr>
      </w:pPr>
      <w:r>
        <w:rPr>
          <w:rFonts w:ascii="Calibri" w:hAnsi="Calibri"/>
        </w:rPr>
        <w:t xml:space="preserve">La “piccola Concepta” presenta la stessa sequenza di movimenti di tutta la famiglia di guarniture Pocket:</w:t>
      </w:r>
      <w:r>
        <w:rPr>
          <w:rFonts w:ascii="Calibri" w:hAnsi="Calibri"/>
        </w:rPr>
        <w:t xml:space="preserve"> </w:t>
      </w:r>
      <w:r>
        <w:rPr>
          <w:rFonts w:ascii="Calibri" w:hAnsi="Calibri"/>
        </w:rPr>
        <w:t xml:space="preserve">i frontali aperti possono essere completamente inserite lateralmente.</w:t>
      </w:r>
      <w:r>
        <w:rPr>
          <w:rFonts w:ascii="Calibri" w:hAnsi="Calibri"/>
        </w:rPr>
        <w:t xml:space="preserve"> </w:t>
      </w:r>
      <w:r>
        <w:rPr>
          <w:rFonts w:ascii="Calibri" w:hAnsi="Calibri"/>
        </w:rPr>
        <w:t xml:space="preserve">Questa scomparsa dell’anta in uno spazio molto ridotto consente di accedere liberamente a tutto l’interno dell’armadio, senza che l’anta sia d’intralcio.</w:t>
      </w:r>
      <w:r>
        <w:rPr>
          <w:rFonts w:ascii="Calibri" w:hAnsi="Calibri"/>
        </w:rPr>
        <w:t xml:space="preserve"> </w:t>
      </w:r>
      <w:r>
        <w:rPr>
          <w:rFonts w:ascii="Calibri" w:hAnsi="Calibri"/>
        </w:rPr>
        <w:t xml:space="preserve">Per riaprire l’anta e chiuderla ottenendo un frontale complanare, si agisce sulla maniglia oppure basta un leggero tocco nella versione senza maniglia.</w:t>
      </w:r>
    </w:p>
    <w:p w14:paraId="1DC54780" w14:textId="77777777" w:rsidR="005B6FFD" w:rsidRDefault="005B6FFD" w:rsidP="00C76EAB">
      <w:pPr>
        <w:rPr>
          <w:rFonts w:ascii="Calibri" w:hAnsi="Calibri" w:cs="Calibri"/>
        </w:rPr>
      </w:pPr>
    </w:p>
    <w:p w14:paraId="7B2D1844" w14:textId="77777777" w:rsidR="002D506D" w:rsidRDefault="002D506D" w:rsidP="00C76EAB">
      <w:pPr>
        <w:rPr>
          <w:b/>
          <w:bCs/>
          <w:rFonts w:ascii="Calibri" w:hAnsi="Calibri" w:cs="Calibri"/>
        </w:rPr>
      </w:pPr>
      <w:r>
        <w:rPr>
          <w:b/>
          <w:rFonts w:ascii="Calibri" w:hAnsi="Calibri"/>
        </w:rPr>
        <w:t xml:space="preserve">Minore sforzo e maggiore comodità nell’apertura a libro</w:t>
      </w:r>
    </w:p>
    <w:p w14:paraId="118530EE" w14:textId="77777777" w:rsidR="00C76EAB" w:rsidRDefault="00C76EAB" w:rsidP="00C76EAB">
      <w:pPr>
        <w:rPr>
          <w:rFonts w:ascii="Calibri" w:hAnsi="Calibri" w:cs="Calibri"/>
          <w:b/>
          <w:bCs/>
        </w:rPr>
      </w:pPr>
    </w:p>
    <w:p w14:paraId="6A38D644" w14:textId="261CBFFD" w:rsidR="00F44182" w:rsidRDefault="0072693D" w:rsidP="00C76EAB">
      <w:pPr>
        <w:rPr>
          <w:rFonts w:ascii="Calibri" w:hAnsi="Calibri" w:cs="Calibri"/>
        </w:rPr>
      </w:pPr>
      <w:r>
        <w:rPr>
          <w:rFonts w:ascii="Calibri" w:hAnsi="Calibri"/>
        </w:rPr>
        <w:t xml:space="preserve">I componenti ottimizzati e di nuova concezione di “Hawa Folding Concepta III” garantiranno in futuro maggiore comodità di azionamento, facile inserimento nonché allineamento pulito e preciso.</w:t>
      </w:r>
      <w:r>
        <w:rPr>
          <w:rFonts w:ascii="Calibri" w:hAnsi="Calibri"/>
        </w:rPr>
        <w:t xml:space="preserve"> </w:t>
      </w:r>
    </w:p>
    <w:p w14:paraId="4E8898DA" w14:textId="77777777" w:rsidR="005B6FFD" w:rsidRDefault="005B6FFD" w:rsidP="00C76EAB">
      <w:pPr>
        <w:rPr>
          <w:rFonts w:ascii="Calibri" w:hAnsi="Calibri" w:cs="Calibri"/>
        </w:rPr>
      </w:pPr>
    </w:p>
    <w:p w14:paraId="0268EFB2" w14:textId="3E200241" w:rsidR="00F44182" w:rsidRDefault="00930422" w:rsidP="00C76EAB">
      <w:pPr>
        <w:rPr>
          <w:rFonts w:ascii="Calibri" w:hAnsi="Calibri" w:cs="Calibri"/>
        </w:rPr>
      </w:pPr>
      <w:r>
        <w:rPr>
          <w:rFonts w:ascii="Calibri" w:hAnsi="Calibri"/>
        </w:rPr>
        <w:t xml:space="preserve">Hawa ha prestato particolare attenzione all’implementazione negli armadi sovrapposti.</w:t>
      </w:r>
      <w:r>
        <w:rPr>
          <w:rFonts w:ascii="Calibri" w:hAnsi="Calibri"/>
        </w:rPr>
        <w:t xml:space="preserve"> </w:t>
      </w:r>
      <w:r>
        <w:rPr>
          <w:rFonts w:ascii="Calibri" w:hAnsi="Calibri"/>
        </w:rPr>
        <w:t xml:space="preserve">Con l'obiettivo di allestire frontali armoniosi e continui con schema delle fughe in filigrana, è stata sviluppata una soluzione che non richiede alcuna fresatura del piano di lavoro.</w:t>
      </w:r>
      <w:r>
        <w:rPr>
          <w:rFonts w:ascii="Calibri" w:hAnsi="Calibri"/>
        </w:rPr>
        <w:t xml:space="preserve"> </w:t>
      </w:r>
      <w:r>
        <w:rPr>
          <w:rFonts w:ascii="Calibri" w:hAnsi="Calibri"/>
        </w:rPr>
        <w:t xml:space="preserve">Grazie alla nuova soluzione con binari di guida, la fuga tra il frontale e il piano di lavoro è di soli 3–6 mm.</w:t>
      </w:r>
      <w:r>
        <w:rPr>
          <w:rFonts w:ascii="Calibri" w:hAnsi="Calibri"/>
        </w:rPr>
        <w:t xml:space="preserve"> </w:t>
      </w:r>
      <w:r>
        <w:rPr>
          <w:rFonts w:ascii="Calibri" w:hAnsi="Calibri"/>
        </w:rPr>
        <w:t xml:space="preserve">Il frontale può essere progettato in modo da coprire o accentuare il bordo del piano di lavoro.</w:t>
      </w:r>
    </w:p>
    <w:p w14:paraId="523867F5" w14:textId="77777777" w:rsidR="005B6FFD" w:rsidRPr="009A0749" w:rsidRDefault="005B6FFD" w:rsidP="00C76EAB">
      <w:pPr>
        <w:rPr>
          <w:rFonts w:ascii="Calibri" w:hAnsi="Calibri" w:cs="Calibri"/>
        </w:rPr>
      </w:pPr>
    </w:p>
    <w:p w14:paraId="54FA24A1" w14:textId="0B51C596" w:rsidR="00425234" w:rsidRDefault="00F23B50" w:rsidP="00C76EAB">
      <w:pPr>
        <w:rPr>
          <w:rFonts w:ascii="Calibri" w:hAnsi="Calibri" w:cs="Calibri"/>
        </w:rPr>
      </w:pPr>
      <w:r>
        <w:rPr>
          <w:rFonts w:ascii="Calibri" w:hAnsi="Calibri"/>
        </w:rPr>
        <w:t xml:space="preserve">Le novità della famiglia di ferramenta Pocket, che Hawa presenterà per la prima volta al Sicam 2026 di Pordenone, estendono notevolmente le opzioni per design armoniosi di mobili complanari con schema delle fughe coerente e ante a scomparsa ergonomiche.</w:t>
      </w:r>
      <w:r>
        <w:rPr>
          <w:rFonts w:ascii="Calibri" w:hAnsi="Calibri"/>
        </w:rPr>
        <w:t xml:space="preserve"> </w:t>
      </w:r>
      <w:r>
        <w:rPr>
          <w:rFonts w:ascii="Calibri" w:hAnsi="Calibri"/>
        </w:rPr>
        <w:t xml:space="preserve">La famiglia “Hawa Concepta III” è ora adatta sia per piccoli frontali che per strutture di grandi dimensioni con larghezza fino a tre metri e altezza fino a 2,70 metri.</w:t>
      </w:r>
      <w:r>
        <w:rPr>
          <w:rFonts w:ascii="Calibri" w:hAnsi="Calibri"/>
        </w:rPr>
        <w:t xml:space="preserve"> </w:t>
      </w:r>
      <w:r>
        <w:rPr>
          <w:rFonts w:ascii="Calibri" w:hAnsi="Calibri"/>
        </w:rPr>
        <w:t xml:space="preserve">Indipendentemente dall’altezza e dalla larghezza, il sistema consente di progettare frontali a una, due o più ante con o senza parete centrale, frontali interni o a battuta, nonché varianti senza maniglia con Push-to-open o versioni Pull con maniglia.</w:t>
      </w:r>
      <w:r>
        <w:rPr>
          <w:rFonts w:ascii="Calibri" w:hAnsi="Calibri"/>
        </w:rPr>
        <w:t xml:space="preserve"> </w:t>
      </w:r>
      <w:r>
        <w:rPr>
          <w:rFonts w:ascii="Calibri" w:hAnsi="Calibri"/>
        </w:rPr>
        <w:t xml:space="preserve">Tutte le novità possono essere progettate subito con Hawa Configuratore.</w:t>
      </w:r>
      <w:r>
        <w:rPr>
          <w:rFonts w:ascii="Calibri" w:hAnsi="Calibri"/>
        </w:rPr>
        <w:t xml:space="preserve"> </w:t>
      </w:r>
      <w:r>
        <w:rPr>
          <w:rFonts w:ascii="Calibri" w:hAnsi="Calibri"/>
        </w:rPr>
        <w:t xml:space="preserve">Il cliente riceve set di ferramenta configurati e adatti al proprio ordine.</w:t>
      </w:r>
    </w:p>
    <w:p w14:paraId="4939550C" w14:textId="77777777" w:rsidR="006914DB" w:rsidRDefault="006914DB" w:rsidP="00C76EAB">
      <w:pPr>
        <w:rPr>
          <w:rFonts w:ascii="Calibri" w:hAnsi="Calibri" w:cs="Calibri"/>
        </w:rPr>
      </w:pPr>
    </w:p>
    <w:p w14:paraId="375EEA03" w14:textId="77777777" w:rsidR="00425234" w:rsidRDefault="00425234" w:rsidP="00C76EAB">
      <w:pPr>
        <w:rPr>
          <w:rFonts w:ascii="Calibri" w:hAnsi="Calibri" w:cs="Calibri"/>
        </w:rPr>
      </w:pPr>
    </w:p>
    <w:p w14:paraId="0BE802E0" w14:textId="196E4A87" w:rsidR="00425234" w:rsidRPr="00804F6F" w:rsidRDefault="00425234" w:rsidP="002C63AD">
      <w:pPr>
        <w:rPr>
          <w:rFonts w:ascii="Calibri" w:hAnsi="Calibri" w:cs="Calibri"/>
        </w:rPr>
      </w:pPr>
      <w:r>
        <w:rPr>
          <w:rFonts w:ascii="Calibri" w:hAnsi="Calibri"/>
        </w:rPr>
        <w:t xml:space="preserve">Didascalia 1:</w:t>
      </w:r>
      <w:r>
        <w:rPr>
          <w:rFonts w:ascii="Calibri" w:hAnsi="Calibri"/>
        </w:rPr>
        <w:t xml:space="preserve"> </w:t>
      </w:r>
      <w:r>
        <w:rPr>
          <w:rFonts w:ascii="Calibri" w:hAnsi="Calibri"/>
        </w:rPr>
        <w:t xml:space="preserve">“Hawa Concepta III 15” è la soluzione Pocket per armadi compatti con ante di piccole dimensioni fino a 15 chilogrammi</w:t>
      </w:r>
      <w:r>
        <w:rPr>
          <w:rFonts w:ascii="Calibri" w:hAnsi="Calibri"/>
        </w:rPr>
        <w:t xml:space="preserve">.</w:t>
      </w:r>
      <w:r>
        <w:rPr>
          <w:rFonts w:ascii="Calibri" w:hAnsi="Calibri"/>
        </w:rPr>
        <w:t xml:space="preserve"> </w:t>
      </w:r>
      <w:r>
        <w:rPr>
          <w:rFonts w:ascii="Calibri" w:hAnsi="Calibri"/>
        </w:rPr>
        <w:t xml:space="preserve">Foto:</w:t>
      </w:r>
      <w:r>
        <w:rPr>
          <w:rFonts w:ascii="Calibri" w:hAnsi="Calibri"/>
        </w:rPr>
        <w:t xml:space="preserve"> </w:t>
      </w:r>
      <w:r>
        <w:rPr>
          <w:rFonts w:ascii="Calibri" w:hAnsi="Calibri"/>
        </w:rPr>
        <w:t xml:space="preserve">Hawa Sliding Solutions AG</w:t>
      </w:r>
    </w:p>
    <w:p w14:paraId="6DA7864E" w14:textId="77777777" w:rsidR="00425234" w:rsidRPr="00804F6F" w:rsidRDefault="00425234" w:rsidP="002C63AD">
      <w:pPr>
        <w:rPr>
          <w:rFonts w:ascii="Calibri" w:hAnsi="Calibri" w:cs="Calibri"/>
        </w:rPr>
      </w:pPr>
    </w:p>
    <w:p w14:paraId="597F7631" w14:textId="46AC68C5" w:rsidR="00425234" w:rsidRPr="00425234" w:rsidRDefault="00425234" w:rsidP="002C63AD">
      <w:pPr>
        <w:rPr>
          <w:rFonts w:ascii="Calibri" w:hAnsi="Calibri" w:cs="Calibri"/>
        </w:rPr>
      </w:pPr>
      <w:r>
        <w:rPr>
          <w:rFonts w:ascii="Calibri" w:hAnsi="Calibri"/>
        </w:rPr>
        <w:t xml:space="preserve">Didascalia 2:</w:t>
      </w:r>
      <w:r>
        <w:rPr>
          <w:rFonts w:ascii="Calibri" w:hAnsi="Calibri"/>
        </w:rPr>
        <w:t xml:space="preserve"> </w:t>
      </w:r>
      <w:r>
        <w:rPr>
          <w:rFonts w:ascii="Calibri" w:hAnsi="Calibri"/>
        </w:rPr>
        <w:t xml:space="preserve">“Hawa Folding Concepta III” presenta componenti ottimizzati e di nuova concezione,</w:t>
      </w:r>
      <w:r>
        <w:rPr>
          <w:rFonts w:ascii="Calibri" w:hAnsi="Calibri"/>
        </w:rPr>
        <w:t xml:space="preserve"> </w:t>
      </w:r>
      <w:r>
        <w:rPr>
          <w:rFonts w:ascii="Calibri" w:hAnsi="Calibri"/>
        </w:rPr>
        <w:t xml:space="preserve">che semplificano il montaggio, aumentano la comodità di azionamento e migliorano l’estetica delle fughe.</w:t>
      </w:r>
      <w:r>
        <w:rPr>
          <w:rFonts w:ascii="Calibri" w:hAnsi="Calibri"/>
        </w:rPr>
        <w:t xml:space="preserve"> </w:t>
      </w:r>
      <w:r>
        <w:rPr>
          <w:rFonts w:ascii="Calibri" w:hAnsi="Calibri"/>
        </w:rPr>
        <w:t xml:space="preserve">Ciò vale in particolare per gli armadi sovrapposti, per i quali non è più necessario intervenire sul piano di lavoro.</w:t>
      </w:r>
      <w:r>
        <w:rPr>
          <w:rFonts w:ascii="Calibri" w:hAnsi="Calibri"/>
        </w:rPr>
        <w:t xml:space="preserve"> </w:t>
      </w:r>
      <w:r>
        <w:rPr>
          <w:rFonts w:ascii="Calibri" w:hAnsi="Calibri"/>
        </w:rPr>
        <w:t xml:space="preserve">Foto:</w:t>
      </w:r>
      <w:r>
        <w:rPr>
          <w:rFonts w:ascii="Calibri" w:hAnsi="Calibri"/>
        </w:rPr>
        <w:t xml:space="preserve"> </w:t>
      </w:r>
      <w:r>
        <w:rPr>
          <w:rFonts w:ascii="Calibri" w:hAnsi="Calibri"/>
        </w:rPr>
        <w:t xml:space="preserve">Hawa Sliding Solutions AG</w:t>
      </w:r>
    </w:p>
    <w:sectPr w:rsidR="00425234" w:rsidRPr="00425234" w:rsidSect="00DD0F27">
      <w:headerReference w:type="default" r:id="rId6"/>
      <w:pgSz w:w="11906" w:h="16838" w:code="9"/>
      <w:pgMar w:top="2835" w:right="3402"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74593" w14:textId="77777777" w:rsidR="001143AC" w:rsidRDefault="001143AC" w:rsidP="00C76EAB">
      <w:r>
        <w:separator/>
      </w:r>
    </w:p>
  </w:endnote>
  <w:endnote w:type="continuationSeparator" w:id="0">
    <w:p w14:paraId="3EAB837F" w14:textId="77777777" w:rsidR="001143AC" w:rsidRDefault="001143AC" w:rsidP="00C76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83415" w14:textId="77777777" w:rsidR="001143AC" w:rsidRDefault="001143AC" w:rsidP="00C76EAB">
      <w:r>
        <w:separator/>
      </w:r>
    </w:p>
  </w:footnote>
  <w:footnote w:type="continuationSeparator" w:id="0">
    <w:p w14:paraId="618F0A45" w14:textId="77777777" w:rsidR="001143AC" w:rsidRDefault="001143AC" w:rsidP="00C76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204BF" w14:textId="19DC2A25" w:rsidR="00C76EAB" w:rsidRPr="00C76EAB" w:rsidRDefault="00C76EAB" w:rsidP="00C76EAB">
    <w:pPr>
      <w:pStyle w:val="Kopfzeile"/>
      <w:jc w:val="right"/>
      <w:rPr>
        <w:sz w:val="20"/>
        <w:szCs w:val="20"/>
        <w:rFonts w:ascii="Calibri" w:hAnsi="Calibri" w:cs="Calibri"/>
      </w:rPr>
    </w:pPr>
    <w:r>
      <w:rPr>
        <w:sz w:val="20"/>
        <w:rFonts w:ascii="Calibri" w:hAnsi="Calibri"/>
      </w:rPr>
      <w:t xml:space="preserve">N. PR 10028-0039-09/2026</w:t>
    </w:r>
  </w:p>
  <w:p w14:paraId="6D5CC789" w14:textId="77777777" w:rsidR="00C76EAB" w:rsidRPr="00C76EAB" w:rsidRDefault="00C76EAB" w:rsidP="00C76EAB">
    <w:pPr>
      <w:pStyle w:val="Kopfzeile"/>
      <w:jc w:val="right"/>
      <w:rPr>
        <w:sz w:val="20"/>
        <w:szCs w:val="20"/>
        <w:rFonts w:ascii="Calibri" w:hAnsi="Calibri" w:cs="Calibri"/>
      </w:rPr>
    </w:pPr>
    <w:r>
      <w:rPr>
        <w:sz w:val="20"/>
        <w:rFonts w:ascii="Calibri" w:hAnsi="Calibri"/>
      </w:rPr>
      <w:t xml:space="preserve">Ampia base per un design d’arredo coerente</w:t>
    </w:r>
  </w:p>
  <w:p w14:paraId="2948333F" w14:textId="213F678A" w:rsidR="00C76EAB" w:rsidRPr="00C76EAB" w:rsidRDefault="00C76EAB" w:rsidP="00C76EAB">
    <w:pPr>
      <w:pStyle w:val="Kopfzeile"/>
      <w:jc w:val="right"/>
      <w:rPr>
        <w:sz w:val="20"/>
        <w:szCs w:val="20"/>
        <w:rFonts w:ascii="Calibri" w:hAnsi="Calibri" w:cs="Calibri"/>
      </w:rPr>
    </w:pPr>
    <w:r>
      <w:rPr>
        <w:sz w:val="20"/>
        <w:rFonts w:ascii="Calibri" w:hAnsi="Calibri"/>
      </w:rPr>
      <w:t xml:space="preserve">La famiglia di guarniture Pocket di Hawa si arrichisce di nuovi modelli – Pagina </w:t>
    </w:r>
    <w:r w:rsidRPr="00C76EAB">
      <w:rPr>
        <w:sz w:val="20"/>
        <w:rFonts w:ascii="Calibri" w:hAnsi="Calibri" w:cs="Calibri"/>
      </w:rPr>
      <w:fldChar w:fldCharType="begin"/>
    </w:r>
    <w:r w:rsidRPr="00C76EAB">
      <w:rPr>
        <w:sz w:val="20"/>
        <w:rFonts w:ascii="Calibri" w:hAnsi="Calibri" w:cs="Calibri"/>
      </w:rPr>
      <w:instrText>PAGE   \* MERGEFORMAT</w:instrText>
    </w:r>
    <w:r w:rsidRPr="00C76EAB">
      <w:rPr>
        <w:sz w:val="20"/>
        <w:rFonts w:ascii="Calibri" w:hAnsi="Calibri" w:cs="Calibri"/>
      </w:rPr>
      <w:fldChar w:fldCharType="separate"/>
    </w:r>
    <w:r w:rsidRPr="00C76EAB">
      <w:rPr>
        <w:sz w:val="20"/>
        <w:rFonts w:ascii="Calibri" w:hAnsi="Calibri" w:cs="Calibri"/>
      </w:rPr>
      <w:t>1</w:t>
    </w:r>
    <w:r w:rsidRPr="00C76EAB">
      <w:rPr>
        <w:sz w:val="20"/>
        <w:rFonts w:ascii="Calibri" w:hAnsi="Calibri" w:cs="Calibri"/>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dirty" w:grammar="dirty"/>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BC"/>
    <w:rsid w:val="00081902"/>
    <w:rsid w:val="000C22D2"/>
    <w:rsid w:val="000E2044"/>
    <w:rsid w:val="001143AC"/>
    <w:rsid w:val="001A6FC3"/>
    <w:rsid w:val="001D0F0C"/>
    <w:rsid w:val="00296209"/>
    <w:rsid w:val="002C0CA3"/>
    <w:rsid w:val="002C63AD"/>
    <w:rsid w:val="002D506D"/>
    <w:rsid w:val="003064C2"/>
    <w:rsid w:val="0041192E"/>
    <w:rsid w:val="00425234"/>
    <w:rsid w:val="00435C89"/>
    <w:rsid w:val="00475AE3"/>
    <w:rsid w:val="0049591C"/>
    <w:rsid w:val="004A4716"/>
    <w:rsid w:val="004A5597"/>
    <w:rsid w:val="004B7424"/>
    <w:rsid w:val="004C17A3"/>
    <w:rsid w:val="004F1475"/>
    <w:rsid w:val="0051719F"/>
    <w:rsid w:val="00540213"/>
    <w:rsid w:val="00546B3C"/>
    <w:rsid w:val="00594306"/>
    <w:rsid w:val="005B6FFD"/>
    <w:rsid w:val="005D7BB7"/>
    <w:rsid w:val="00625E62"/>
    <w:rsid w:val="006914DB"/>
    <w:rsid w:val="0072693D"/>
    <w:rsid w:val="007B2628"/>
    <w:rsid w:val="00804F6F"/>
    <w:rsid w:val="008231E1"/>
    <w:rsid w:val="00870D44"/>
    <w:rsid w:val="00881299"/>
    <w:rsid w:val="008A0CB8"/>
    <w:rsid w:val="008D7CE4"/>
    <w:rsid w:val="00930422"/>
    <w:rsid w:val="009A0749"/>
    <w:rsid w:val="00A31A58"/>
    <w:rsid w:val="00A339BC"/>
    <w:rsid w:val="00A5725A"/>
    <w:rsid w:val="00A839AC"/>
    <w:rsid w:val="00AB0955"/>
    <w:rsid w:val="00AC1525"/>
    <w:rsid w:val="00B30F6E"/>
    <w:rsid w:val="00B509D1"/>
    <w:rsid w:val="00B608F5"/>
    <w:rsid w:val="00B82A04"/>
    <w:rsid w:val="00BA7F82"/>
    <w:rsid w:val="00C06036"/>
    <w:rsid w:val="00C43EEB"/>
    <w:rsid w:val="00C7635A"/>
    <w:rsid w:val="00C76EAB"/>
    <w:rsid w:val="00CA7980"/>
    <w:rsid w:val="00CC5205"/>
    <w:rsid w:val="00D013C6"/>
    <w:rsid w:val="00D37DEA"/>
    <w:rsid w:val="00D934F0"/>
    <w:rsid w:val="00DC1539"/>
    <w:rsid w:val="00DD0F27"/>
    <w:rsid w:val="00E52293"/>
    <w:rsid w:val="00E906D8"/>
    <w:rsid w:val="00EC47A5"/>
    <w:rsid w:val="00EF368E"/>
    <w:rsid w:val="00F23B50"/>
    <w:rsid w:val="00F44182"/>
    <w:rsid w:val="00F74A22"/>
    <w:rsid w:val="00F929B4"/>
    <w:rsid w:val="00F93E84"/>
    <w:rsid w:val="00FA7136"/>
    <w:rsid w:val="00FB542C"/>
    <w:rsid w:val="00FE68CA"/>
    <w:rsid w:val="00FE6926"/>
    <w:rsid w:val="00FF0B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6E2D0"/>
  <w15:chartTrackingRefBased/>
  <w15:docId w15:val="{454C8B05-4876-41D3-A6DA-8CF710D5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33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339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339B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339B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339B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339B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339B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339B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339B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339B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339B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339B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339B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339B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339B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339B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339B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339BC"/>
    <w:rPr>
      <w:rFonts w:eastAsiaTheme="majorEastAsia" w:cstheme="majorBidi"/>
      <w:color w:val="272727" w:themeColor="text1" w:themeTint="D8"/>
    </w:rPr>
  </w:style>
  <w:style w:type="paragraph" w:styleId="Titel">
    <w:name w:val="Title"/>
    <w:basedOn w:val="Standard"/>
    <w:next w:val="Standard"/>
    <w:link w:val="TitelZchn"/>
    <w:uiPriority w:val="10"/>
    <w:qFormat/>
    <w:rsid w:val="00A339B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39B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339B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339B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339B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339BC"/>
    <w:rPr>
      <w:i/>
      <w:iCs/>
      <w:color w:val="404040" w:themeColor="text1" w:themeTint="BF"/>
    </w:rPr>
  </w:style>
  <w:style w:type="paragraph" w:styleId="Listenabsatz">
    <w:name w:val="List Paragraph"/>
    <w:basedOn w:val="Standard"/>
    <w:uiPriority w:val="34"/>
    <w:qFormat/>
    <w:rsid w:val="00A339BC"/>
    <w:pPr>
      <w:ind w:left="720"/>
      <w:contextualSpacing/>
    </w:pPr>
  </w:style>
  <w:style w:type="character" w:styleId="IntensiveHervorhebung">
    <w:name w:val="Intense Emphasis"/>
    <w:basedOn w:val="Absatz-Standardschriftart"/>
    <w:uiPriority w:val="21"/>
    <w:qFormat/>
    <w:rsid w:val="00A339BC"/>
    <w:rPr>
      <w:i/>
      <w:iCs/>
      <w:color w:val="0F4761" w:themeColor="accent1" w:themeShade="BF"/>
    </w:rPr>
  </w:style>
  <w:style w:type="paragraph" w:styleId="IntensivesZitat">
    <w:name w:val="Intense Quote"/>
    <w:basedOn w:val="Standard"/>
    <w:next w:val="Standard"/>
    <w:link w:val="IntensivesZitatZchn"/>
    <w:uiPriority w:val="30"/>
    <w:qFormat/>
    <w:rsid w:val="00A33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339BC"/>
    <w:rPr>
      <w:i/>
      <w:iCs/>
      <w:color w:val="0F4761" w:themeColor="accent1" w:themeShade="BF"/>
    </w:rPr>
  </w:style>
  <w:style w:type="character" w:styleId="IntensiverVerweis">
    <w:name w:val="Intense Reference"/>
    <w:basedOn w:val="Absatz-Standardschriftart"/>
    <w:uiPriority w:val="32"/>
    <w:qFormat/>
    <w:rsid w:val="00A339BC"/>
    <w:rPr>
      <w:b/>
      <w:bCs/>
      <w:smallCaps/>
      <w:color w:val="0F4761" w:themeColor="accent1" w:themeShade="BF"/>
      <w:spacing w:val="5"/>
    </w:rPr>
  </w:style>
  <w:style w:type="paragraph" w:styleId="Kopfzeile">
    <w:name w:val="header"/>
    <w:basedOn w:val="Standard"/>
    <w:link w:val="KopfzeileZchn"/>
    <w:uiPriority w:val="99"/>
    <w:unhideWhenUsed/>
    <w:rsid w:val="00C76EAB"/>
    <w:pPr>
      <w:tabs>
        <w:tab w:val="center" w:pos="4536"/>
        <w:tab w:val="right" w:pos="9072"/>
      </w:tabs>
    </w:pPr>
  </w:style>
  <w:style w:type="character" w:customStyle="1" w:styleId="KopfzeileZchn">
    <w:name w:val="Kopfzeile Zchn"/>
    <w:basedOn w:val="Absatz-Standardschriftart"/>
    <w:link w:val="Kopfzeile"/>
    <w:uiPriority w:val="99"/>
    <w:rsid w:val="00C76EAB"/>
  </w:style>
  <w:style w:type="paragraph" w:styleId="Fuzeile">
    <w:name w:val="footer"/>
    <w:basedOn w:val="Standard"/>
    <w:link w:val="FuzeileZchn"/>
    <w:uiPriority w:val="99"/>
    <w:unhideWhenUsed/>
    <w:rsid w:val="00C76EAB"/>
    <w:pPr>
      <w:tabs>
        <w:tab w:val="center" w:pos="4536"/>
        <w:tab w:val="right" w:pos="9072"/>
      </w:tabs>
    </w:pPr>
  </w:style>
  <w:style w:type="character" w:customStyle="1" w:styleId="FuzeileZchn">
    <w:name w:val="Fußzeile Zchn"/>
    <w:basedOn w:val="Absatz-Standardschriftart"/>
    <w:link w:val="Fuzeile"/>
    <w:uiPriority w:val="99"/>
    <w:rsid w:val="00C76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3161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Hannemann</dc:creator>
  <cp:keywords/>
  <dc:description/>
  <cp:lastModifiedBy>Bianca Hannemann</cp:lastModifiedBy>
  <cp:revision>5</cp:revision>
  <dcterms:created xsi:type="dcterms:W3CDTF">2026-09-16T15:20:00Z</dcterms:created>
  <dcterms:modified xsi:type="dcterms:W3CDTF">2026-09-16T15:52:00Z</dcterms:modified>
</cp:coreProperties>
</file>