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7395F" w14:textId="39AAE604" w:rsidR="00644504" w:rsidRPr="00676150" w:rsidRDefault="00644504" w:rsidP="00644504">
      <w:pPr>
        <w:rPr>
          <w:rFonts w:ascii="Calibri" w:hAnsi="Calibri" w:cs="Calibri"/>
          <w:sz w:val="20"/>
          <w:szCs w:val="20"/>
          <w:lang w:val="fr-FR"/>
        </w:rPr>
      </w:pPr>
      <w:proofErr w:type="spellStart"/>
      <w:r w:rsidRPr="00676150">
        <w:rPr>
          <w:rFonts w:ascii="Calibri" w:hAnsi="Calibri" w:cs="Calibri"/>
          <w:sz w:val="20"/>
          <w:szCs w:val="20"/>
          <w:lang w:val="fr-FR"/>
        </w:rPr>
        <w:t>CdP</w:t>
      </w:r>
      <w:proofErr w:type="spellEnd"/>
      <w:r w:rsidRPr="00676150">
        <w:rPr>
          <w:rFonts w:ascii="Calibri" w:hAnsi="Calibri" w:cs="Calibri"/>
          <w:sz w:val="20"/>
          <w:szCs w:val="20"/>
          <w:lang w:val="fr-FR"/>
        </w:rPr>
        <w:t xml:space="preserve"> n° 10030-0014-08/2026</w:t>
      </w:r>
    </w:p>
    <w:p w14:paraId="3B20A9DC" w14:textId="77777777" w:rsidR="00644504" w:rsidRPr="00676150" w:rsidRDefault="00644504" w:rsidP="00644504">
      <w:pPr>
        <w:rPr>
          <w:rFonts w:ascii="Calibri" w:hAnsi="Calibri" w:cs="Calibri"/>
          <w:lang w:val="fr-FR"/>
        </w:rPr>
      </w:pPr>
    </w:p>
    <w:p w14:paraId="6F21272C" w14:textId="77777777" w:rsidR="00644504" w:rsidRPr="00676150" w:rsidRDefault="00644504" w:rsidP="00644504">
      <w:pPr>
        <w:rPr>
          <w:rFonts w:ascii="Calibri" w:hAnsi="Calibri" w:cs="Calibri"/>
          <w:b/>
          <w:bCs/>
          <w:sz w:val="28"/>
          <w:szCs w:val="28"/>
          <w:lang w:val="fr-FR"/>
        </w:rPr>
      </w:pPr>
      <w:r w:rsidRPr="00676150">
        <w:rPr>
          <w:rFonts w:ascii="Calibri" w:hAnsi="Calibri" w:cs="Calibri"/>
          <w:b/>
          <w:bCs/>
          <w:sz w:val="28"/>
          <w:szCs w:val="28"/>
          <w:lang w:val="fr-FR"/>
        </w:rPr>
        <w:t>Cuisiner, faire de la pâtisserie et ranger sans effort</w:t>
      </w:r>
    </w:p>
    <w:p w14:paraId="65E8C369" w14:textId="77777777" w:rsidR="00644504" w:rsidRPr="00676150" w:rsidRDefault="00644504" w:rsidP="00644504">
      <w:pPr>
        <w:rPr>
          <w:rFonts w:ascii="Calibri" w:hAnsi="Calibri" w:cs="Calibri"/>
          <w:b/>
          <w:bCs/>
          <w:lang w:val="fr-FR"/>
        </w:rPr>
      </w:pPr>
      <w:r w:rsidRPr="00676150">
        <w:rPr>
          <w:rFonts w:ascii="Calibri" w:hAnsi="Calibri" w:cs="Calibri"/>
          <w:b/>
          <w:bCs/>
          <w:lang w:val="fr-FR"/>
        </w:rPr>
        <w:t>La gamme « Konda » de Ninka s'agrandit</w:t>
      </w:r>
    </w:p>
    <w:p w14:paraId="2D9D79DF" w14:textId="77777777" w:rsidR="00644504" w:rsidRPr="00676150" w:rsidRDefault="00644504" w:rsidP="00644504">
      <w:pPr>
        <w:rPr>
          <w:rFonts w:ascii="Calibri" w:hAnsi="Calibri" w:cs="Calibri"/>
          <w:b/>
          <w:bCs/>
          <w:lang w:val="fr-FR"/>
        </w:rPr>
      </w:pPr>
    </w:p>
    <w:p w14:paraId="7D4DF7E3" w14:textId="10A94744" w:rsidR="007B2628" w:rsidRPr="00676150" w:rsidRDefault="00644504" w:rsidP="00254A26">
      <w:pPr>
        <w:spacing w:line="274" w:lineRule="auto"/>
        <w:rPr>
          <w:rFonts w:ascii="Calibri" w:hAnsi="Calibri" w:cs="Calibri"/>
          <w:b/>
          <w:bCs/>
          <w:lang w:val="fr-FR"/>
        </w:rPr>
      </w:pPr>
      <w:proofErr w:type="spellStart"/>
      <w:r w:rsidRPr="00676150">
        <w:rPr>
          <w:rFonts w:ascii="Calibri" w:hAnsi="Calibri" w:cs="Calibri"/>
          <w:b/>
          <w:bCs/>
          <w:lang w:val="fr-FR"/>
        </w:rPr>
        <w:t>Ninkaplast</w:t>
      </w:r>
      <w:proofErr w:type="spellEnd"/>
      <w:r w:rsidRPr="00676150">
        <w:rPr>
          <w:rFonts w:ascii="Calibri" w:hAnsi="Calibri" w:cs="Calibri"/>
          <w:b/>
          <w:bCs/>
          <w:lang w:val="fr-FR"/>
        </w:rPr>
        <w:t xml:space="preserve"> donne une nouvelle fois corps au concept de « simplicité intelligente dans la cuisine ». À l'occasion du salon </w:t>
      </w:r>
      <w:proofErr w:type="spellStart"/>
      <w:r w:rsidRPr="00676150">
        <w:rPr>
          <w:rFonts w:ascii="Calibri" w:hAnsi="Calibri" w:cs="Calibri"/>
          <w:b/>
          <w:bCs/>
          <w:lang w:val="fr-FR"/>
        </w:rPr>
        <w:t>Sicam</w:t>
      </w:r>
      <w:proofErr w:type="spellEnd"/>
      <w:r w:rsidRPr="00676150">
        <w:rPr>
          <w:rFonts w:ascii="Calibri" w:hAnsi="Calibri" w:cs="Calibri"/>
          <w:b/>
          <w:bCs/>
          <w:lang w:val="fr-FR"/>
        </w:rPr>
        <w:t xml:space="preserve"> 2026, le spécialiste du moulage des matières plastiques et du traitement de surface élargit sa gamme avec l'étagère « Konda ». Cette solution permet de ranger des appareils de cuisine lourds, prêts à l’emploi, notamment dans une armoire </w:t>
      </w:r>
      <w:r w:rsidR="00676150" w:rsidRPr="00676150">
        <w:rPr>
          <w:rFonts w:ascii="Calibri" w:hAnsi="Calibri" w:cs="Calibri"/>
          <w:b/>
          <w:bCs/>
          <w:lang w:val="fr-FR"/>
        </w:rPr>
        <w:t>posée sur le plan de travail</w:t>
      </w:r>
      <w:r w:rsidRPr="00676150">
        <w:rPr>
          <w:rFonts w:ascii="Calibri" w:hAnsi="Calibri" w:cs="Calibri"/>
          <w:b/>
          <w:bCs/>
          <w:lang w:val="fr-FR"/>
        </w:rPr>
        <w:t>, quelles que soient les dimensions et la conception de celle-ci. Cette étagère est le deuxième produit de la gamme « Konda ». En 2025, Ninka avait déjà lancé sur le marché l</w:t>
      </w:r>
      <w:r w:rsidR="00676150" w:rsidRPr="00676150">
        <w:rPr>
          <w:rFonts w:ascii="Calibri" w:hAnsi="Calibri" w:cs="Calibri"/>
          <w:b/>
          <w:bCs/>
          <w:lang w:val="fr-FR"/>
        </w:rPr>
        <w:t xml:space="preserve">a verseuse </w:t>
      </w:r>
      <w:r w:rsidRPr="00676150">
        <w:rPr>
          <w:rFonts w:ascii="Calibri" w:hAnsi="Calibri" w:cs="Calibri"/>
          <w:b/>
          <w:bCs/>
          <w:lang w:val="fr-FR"/>
        </w:rPr>
        <w:t>« Konda », qui a depuis été récompensé</w:t>
      </w:r>
      <w:r w:rsidR="00336237">
        <w:rPr>
          <w:rFonts w:ascii="Calibri" w:hAnsi="Calibri" w:cs="Calibri"/>
          <w:b/>
          <w:bCs/>
          <w:lang w:val="fr-FR"/>
        </w:rPr>
        <w:t>e</w:t>
      </w:r>
      <w:r w:rsidRPr="00676150">
        <w:rPr>
          <w:rFonts w:ascii="Calibri" w:hAnsi="Calibri" w:cs="Calibri"/>
          <w:b/>
          <w:bCs/>
          <w:lang w:val="fr-FR"/>
        </w:rPr>
        <w:t xml:space="preserve"> par l’« </w:t>
      </w:r>
      <w:proofErr w:type="spellStart"/>
      <w:r w:rsidRPr="00676150">
        <w:rPr>
          <w:rFonts w:ascii="Calibri" w:hAnsi="Calibri" w:cs="Calibri"/>
          <w:b/>
          <w:bCs/>
          <w:lang w:val="fr-FR"/>
        </w:rPr>
        <w:t>iF</w:t>
      </w:r>
      <w:proofErr w:type="spellEnd"/>
      <w:r w:rsidRPr="00676150">
        <w:rPr>
          <w:rFonts w:ascii="Calibri" w:hAnsi="Calibri" w:cs="Calibri"/>
          <w:b/>
          <w:bCs/>
          <w:lang w:val="fr-FR"/>
        </w:rPr>
        <w:t xml:space="preserve"> Design </w:t>
      </w:r>
      <w:proofErr w:type="spellStart"/>
      <w:r w:rsidRPr="00676150">
        <w:rPr>
          <w:rFonts w:ascii="Calibri" w:hAnsi="Calibri" w:cs="Calibri"/>
          <w:b/>
          <w:bCs/>
          <w:lang w:val="fr-FR"/>
        </w:rPr>
        <w:t>Award</w:t>
      </w:r>
      <w:proofErr w:type="spellEnd"/>
      <w:r w:rsidRPr="00676150">
        <w:rPr>
          <w:rFonts w:ascii="Calibri" w:hAnsi="Calibri" w:cs="Calibri"/>
          <w:b/>
          <w:bCs/>
          <w:lang w:val="fr-FR"/>
        </w:rPr>
        <w:t xml:space="preserve"> ».</w:t>
      </w:r>
    </w:p>
    <w:p w14:paraId="7990F3DC" w14:textId="77777777" w:rsidR="00644504" w:rsidRPr="00676150" w:rsidRDefault="00644504" w:rsidP="00254A26">
      <w:pPr>
        <w:spacing w:line="274" w:lineRule="auto"/>
        <w:rPr>
          <w:rFonts w:ascii="Calibri" w:hAnsi="Calibri" w:cs="Calibri"/>
          <w:b/>
          <w:bCs/>
          <w:lang w:val="fr-FR"/>
        </w:rPr>
      </w:pPr>
    </w:p>
    <w:p w14:paraId="0FCD8BC1" w14:textId="7D9BD600" w:rsidR="00644504" w:rsidRPr="00676150" w:rsidRDefault="0071476F" w:rsidP="00254A26">
      <w:pPr>
        <w:spacing w:line="274" w:lineRule="auto"/>
        <w:rPr>
          <w:rFonts w:ascii="Calibri" w:hAnsi="Calibri" w:cs="Calibri"/>
          <w:lang w:val="fr-FR"/>
        </w:rPr>
      </w:pPr>
      <w:r w:rsidRPr="00676150">
        <w:rPr>
          <w:rFonts w:ascii="Calibri" w:hAnsi="Calibri" w:cs="Calibri"/>
          <w:lang w:val="fr-FR"/>
        </w:rPr>
        <w:t xml:space="preserve">Friteuse à air chaud, mixeur à smoothies, machine à café ou appareil multifonction pour cuisiner et cuire au four : les gros appareils </w:t>
      </w:r>
      <w:r w:rsidR="00676150" w:rsidRPr="00676150">
        <w:rPr>
          <w:rFonts w:ascii="Calibri" w:hAnsi="Calibri" w:cs="Calibri"/>
          <w:lang w:val="fr-FR"/>
        </w:rPr>
        <w:t>ménagers</w:t>
      </w:r>
      <w:r w:rsidRPr="00676150">
        <w:rPr>
          <w:rFonts w:ascii="Calibri" w:hAnsi="Calibri" w:cs="Calibri"/>
          <w:lang w:val="fr-FR"/>
        </w:rPr>
        <w:t xml:space="preserve"> marquent le quotidien des cuisines modernes. Ces gadgets intelligents modifient les habitudes culinaires de nombreux utilisateurs, si bien que la cuisinière classique n’occupe plus depuis longtemps une place centrale. C’est pourquoi il existe une forte demande pour des espaces de rangement intelligents, capables de dissimuler élégamment ces appareils de cuisine et de les rendre accessibles en un clin d’œil lorsque cela est nécessaire. L'étagère « Konda » permet d'utiliser cet espace de rangement de manière flexible.</w:t>
      </w:r>
    </w:p>
    <w:p w14:paraId="23ED42E3" w14:textId="77777777" w:rsidR="0071476F" w:rsidRPr="00676150" w:rsidRDefault="0071476F" w:rsidP="00254A26">
      <w:pPr>
        <w:spacing w:line="274" w:lineRule="auto"/>
        <w:rPr>
          <w:rFonts w:ascii="Calibri" w:hAnsi="Calibri" w:cs="Calibri"/>
          <w:lang w:val="fr-FR"/>
        </w:rPr>
      </w:pPr>
    </w:p>
    <w:p w14:paraId="1F363CA8" w14:textId="24B19E5E" w:rsidR="0071476F" w:rsidRPr="00676150" w:rsidRDefault="0071476F" w:rsidP="00254A26">
      <w:pPr>
        <w:spacing w:line="274" w:lineRule="auto"/>
        <w:rPr>
          <w:rFonts w:ascii="Calibri" w:hAnsi="Calibri" w:cs="Calibri"/>
          <w:b/>
          <w:bCs/>
          <w:lang w:val="fr-FR"/>
        </w:rPr>
      </w:pPr>
      <w:r w:rsidRPr="00676150">
        <w:rPr>
          <w:rFonts w:ascii="Calibri" w:hAnsi="Calibri" w:cs="Calibri"/>
          <w:b/>
          <w:bCs/>
          <w:lang w:val="fr-FR"/>
        </w:rPr>
        <w:t xml:space="preserve">Une solution flexible pour toutes les armoires </w:t>
      </w:r>
      <w:r w:rsidR="00676150" w:rsidRPr="00676150">
        <w:rPr>
          <w:rFonts w:ascii="Calibri" w:hAnsi="Calibri" w:cs="Calibri"/>
          <w:b/>
          <w:bCs/>
          <w:lang w:val="fr-FR"/>
        </w:rPr>
        <w:t>posées sur plan</w:t>
      </w:r>
    </w:p>
    <w:p w14:paraId="7EC1ACE1" w14:textId="77777777" w:rsidR="0071476F" w:rsidRPr="00676150" w:rsidRDefault="0071476F" w:rsidP="00254A26">
      <w:pPr>
        <w:spacing w:line="274" w:lineRule="auto"/>
        <w:rPr>
          <w:rFonts w:ascii="Calibri" w:hAnsi="Calibri" w:cs="Calibri"/>
          <w:lang w:val="fr-FR"/>
        </w:rPr>
      </w:pPr>
    </w:p>
    <w:p w14:paraId="0A5B7970" w14:textId="644997C7" w:rsidR="0071476F" w:rsidRPr="00676150" w:rsidRDefault="0071476F" w:rsidP="00254A26">
      <w:pPr>
        <w:spacing w:line="274" w:lineRule="auto"/>
        <w:rPr>
          <w:rFonts w:ascii="Calibri" w:hAnsi="Calibri" w:cs="Calibri"/>
          <w:lang w:val="fr-FR"/>
        </w:rPr>
      </w:pPr>
      <w:r w:rsidRPr="00676150">
        <w:rPr>
          <w:rFonts w:ascii="Calibri" w:hAnsi="Calibri" w:cs="Calibri"/>
          <w:lang w:val="fr-FR"/>
        </w:rPr>
        <w:t xml:space="preserve">Cette innovation facile à nettoyer pour les armoires posées </w:t>
      </w:r>
      <w:r w:rsidR="00676150" w:rsidRPr="00676150">
        <w:rPr>
          <w:rFonts w:ascii="Calibri" w:hAnsi="Calibri" w:cs="Calibri"/>
          <w:lang w:val="fr-FR"/>
        </w:rPr>
        <w:t xml:space="preserve">sur plan </w:t>
      </w:r>
      <w:r w:rsidRPr="00676150">
        <w:rPr>
          <w:rFonts w:ascii="Calibri" w:hAnsi="Calibri" w:cs="Calibri"/>
          <w:lang w:val="fr-FR"/>
        </w:rPr>
        <w:t xml:space="preserve">ne nécessite ni tiroir supplémentaire, ni fixation par vis sur le plan de travail. La tablette « Konda » s'adapte à toutes les dimensions et à toutes les variantes d'ouverture sans composants ni </w:t>
      </w:r>
      <w:r w:rsidR="00676150" w:rsidRPr="00676150">
        <w:rPr>
          <w:rFonts w:ascii="Calibri" w:hAnsi="Calibri" w:cs="Calibri"/>
          <w:lang w:val="fr-FR"/>
        </w:rPr>
        <w:t>couliss</w:t>
      </w:r>
      <w:r w:rsidRPr="00676150">
        <w:rPr>
          <w:rFonts w:ascii="Calibri" w:hAnsi="Calibri" w:cs="Calibri"/>
          <w:lang w:val="fr-FR"/>
        </w:rPr>
        <w:t xml:space="preserve">es supplémentaires. Grâce à cette tablette de 390 x 480 mm et de 60 mm de hauteur, les appareils lourds peuvent être déplacés sans effort et en </w:t>
      </w:r>
      <w:r w:rsidRPr="00676150">
        <w:rPr>
          <w:rFonts w:ascii="Calibri" w:hAnsi="Calibri" w:cs="Calibri"/>
          <w:lang w:val="fr-FR"/>
        </w:rPr>
        <w:lastRenderedPageBreak/>
        <w:t xml:space="preserve">toute sécurité sur le plan de travail. Lors de leur utilisation, ils bénéficient d’une grande stabilité ; une fois rangés, ils disparaissent derrière des </w:t>
      </w:r>
      <w:r w:rsidR="00676150" w:rsidRPr="00676150">
        <w:rPr>
          <w:rFonts w:ascii="Calibri" w:hAnsi="Calibri" w:cs="Calibri"/>
          <w:lang w:val="fr-FR"/>
        </w:rPr>
        <w:t>rideaux</w:t>
      </w:r>
      <w:r w:rsidRPr="00676150">
        <w:rPr>
          <w:rFonts w:ascii="Calibri" w:hAnsi="Calibri" w:cs="Calibri"/>
          <w:lang w:val="fr-FR"/>
        </w:rPr>
        <w:t>, des portes battantes ou des portes coulissantes pliantes grâce à un système de commande à une main.</w:t>
      </w:r>
    </w:p>
    <w:p w14:paraId="253334BF" w14:textId="77777777" w:rsidR="0071476F" w:rsidRPr="00676150" w:rsidRDefault="0071476F" w:rsidP="00254A26">
      <w:pPr>
        <w:spacing w:line="274" w:lineRule="auto"/>
        <w:rPr>
          <w:rFonts w:ascii="Calibri" w:hAnsi="Calibri" w:cs="Calibri"/>
          <w:lang w:val="fr-FR"/>
        </w:rPr>
      </w:pPr>
    </w:p>
    <w:p w14:paraId="69514F17" w14:textId="77777777" w:rsidR="0071476F" w:rsidRPr="00676150" w:rsidRDefault="0071476F" w:rsidP="00254A26">
      <w:pPr>
        <w:spacing w:line="274" w:lineRule="auto"/>
        <w:rPr>
          <w:rFonts w:ascii="Calibri" w:hAnsi="Calibri" w:cs="Calibri"/>
          <w:lang w:val="fr-FR"/>
        </w:rPr>
      </w:pPr>
      <w:r w:rsidRPr="00676150">
        <w:rPr>
          <w:rFonts w:ascii="Calibri" w:hAnsi="Calibri" w:cs="Calibri"/>
          <w:lang w:val="fr-FR"/>
        </w:rPr>
        <w:t>Avec l'étagère « Konda » à usage universel, Ninka s'inscrit dans une démarche de simplification, tant au niveau de la diversité des articles et de la gestion des stocks que dans la conception et le montage des cuisines.</w:t>
      </w:r>
    </w:p>
    <w:p w14:paraId="6F5420C3" w14:textId="77777777" w:rsidR="0071476F" w:rsidRPr="00676150" w:rsidRDefault="0071476F" w:rsidP="00254A26">
      <w:pPr>
        <w:spacing w:line="274" w:lineRule="auto"/>
        <w:rPr>
          <w:rFonts w:ascii="Calibri" w:hAnsi="Calibri" w:cs="Calibri"/>
          <w:lang w:val="fr-FR"/>
        </w:rPr>
      </w:pPr>
    </w:p>
    <w:p w14:paraId="0979B8E7" w14:textId="77777777" w:rsidR="0071476F" w:rsidRPr="00676150" w:rsidRDefault="0071476F" w:rsidP="00254A26">
      <w:pPr>
        <w:spacing w:line="274" w:lineRule="auto"/>
        <w:rPr>
          <w:rFonts w:ascii="Calibri" w:hAnsi="Calibri" w:cs="Calibri"/>
          <w:lang w:val="fr-FR"/>
        </w:rPr>
      </w:pPr>
    </w:p>
    <w:p w14:paraId="6BF436EF" w14:textId="5D730B44" w:rsidR="0071476F" w:rsidRPr="00676150" w:rsidRDefault="0071476F" w:rsidP="0071476F">
      <w:pPr>
        <w:rPr>
          <w:rFonts w:ascii="Calibri" w:hAnsi="Calibri" w:cs="Calibri"/>
          <w:lang w:val="fr-FR"/>
        </w:rPr>
      </w:pPr>
      <w:r w:rsidRPr="00676150">
        <w:rPr>
          <w:rFonts w:ascii="Calibri" w:hAnsi="Calibri" w:cs="Calibri"/>
          <w:lang w:val="fr-FR"/>
        </w:rPr>
        <w:t>Légende : La nouvelle étagère « Konda » permet de ranger des appareils de cuisine lourds, prêts à l'emploi, notamment dans une armoire posée</w:t>
      </w:r>
      <w:r w:rsidR="00676150" w:rsidRPr="00676150">
        <w:rPr>
          <w:rFonts w:ascii="Calibri" w:hAnsi="Calibri" w:cs="Calibri"/>
          <w:lang w:val="fr-FR"/>
        </w:rPr>
        <w:t xml:space="preserve"> sur plan de travail</w:t>
      </w:r>
      <w:r w:rsidRPr="00676150">
        <w:rPr>
          <w:rFonts w:ascii="Calibri" w:hAnsi="Calibri" w:cs="Calibri"/>
          <w:lang w:val="fr-FR"/>
        </w:rPr>
        <w:t xml:space="preserve">, quelles que soient les dimensions et la conception de celle-ci. Cette étagère est le deuxième produit de la gamme « Konda ». En 2025, Ninka avait déjà lancé sur le marché la </w:t>
      </w:r>
      <w:r w:rsidR="00676150" w:rsidRPr="00676150">
        <w:rPr>
          <w:rFonts w:ascii="Calibri" w:hAnsi="Calibri" w:cs="Calibri"/>
          <w:lang w:val="fr-FR"/>
        </w:rPr>
        <w:t>verseuse</w:t>
      </w:r>
      <w:r w:rsidRPr="00676150">
        <w:rPr>
          <w:rFonts w:ascii="Calibri" w:hAnsi="Calibri" w:cs="Calibri"/>
          <w:lang w:val="fr-FR"/>
        </w:rPr>
        <w:t xml:space="preserve"> « Konda ». Photo : Ninka</w:t>
      </w:r>
    </w:p>
    <w:sectPr w:rsidR="0071476F" w:rsidRPr="00676150" w:rsidSect="00DD0F27">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8F77E" w14:textId="77777777" w:rsidR="00C31BEA" w:rsidRDefault="00C31BEA" w:rsidP="00254A26">
      <w:r>
        <w:separator/>
      </w:r>
    </w:p>
  </w:endnote>
  <w:endnote w:type="continuationSeparator" w:id="0">
    <w:p w14:paraId="7F6230B4" w14:textId="77777777" w:rsidR="00C31BEA" w:rsidRDefault="00C31BEA" w:rsidP="00254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82F0D" w14:textId="77777777" w:rsidR="00C31BEA" w:rsidRDefault="00C31BEA" w:rsidP="00254A26">
      <w:r>
        <w:separator/>
      </w:r>
    </w:p>
  </w:footnote>
  <w:footnote w:type="continuationSeparator" w:id="0">
    <w:p w14:paraId="0EE685F5" w14:textId="77777777" w:rsidR="00C31BEA" w:rsidRDefault="00C31BEA" w:rsidP="00254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76DF" w14:textId="6414D108" w:rsidR="00254A26" w:rsidRPr="00254A26" w:rsidRDefault="00254A26" w:rsidP="00254A26">
    <w:pPr>
      <w:pStyle w:val="Kopfzeile"/>
      <w:jc w:val="right"/>
      <w:rPr>
        <w:rFonts w:ascii="Calibri" w:hAnsi="Calibri" w:cs="Calibri"/>
        <w:sz w:val="20"/>
        <w:szCs w:val="20"/>
      </w:rPr>
    </w:pPr>
    <w:proofErr w:type="spellStart"/>
    <w:r w:rsidRPr="00254A26">
      <w:rPr>
        <w:rFonts w:ascii="Calibri" w:hAnsi="Calibri" w:cs="Calibri"/>
        <w:sz w:val="20"/>
        <w:szCs w:val="20"/>
      </w:rPr>
      <w:t>CdP</w:t>
    </w:r>
    <w:proofErr w:type="spellEnd"/>
    <w:r w:rsidRPr="00254A26">
      <w:rPr>
        <w:rFonts w:ascii="Calibri" w:hAnsi="Calibri" w:cs="Calibri"/>
        <w:sz w:val="20"/>
        <w:szCs w:val="20"/>
      </w:rPr>
      <w:t xml:space="preserve"> n° 10030-0014-08/2026</w:t>
    </w:r>
  </w:p>
  <w:p w14:paraId="3B162553" w14:textId="77777777" w:rsidR="00254A26" w:rsidRPr="00254A26" w:rsidRDefault="00254A26" w:rsidP="00254A26">
    <w:pPr>
      <w:pStyle w:val="Kopfzeile"/>
      <w:jc w:val="right"/>
      <w:rPr>
        <w:rFonts w:ascii="Calibri" w:hAnsi="Calibri" w:cs="Calibri"/>
        <w:sz w:val="20"/>
        <w:szCs w:val="20"/>
      </w:rPr>
    </w:pPr>
    <w:proofErr w:type="spellStart"/>
    <w:r w:rsidRPr="00254A26">
      <w:rPr>
        <w:rFonts w:ascii="Calibri" w:hAnsi="Calibri" w:cs="Calibri"/>
        <w:sz w:val="20"/>
        <w:szCs w:val="20"/>
      </w:rPr>
      <w:t>Cuisiner</w:t>
    </w:r>
    <w:proofErr w:type="spellEnd"/>
    <w:r w:rsidRPr="00254A26">
      <w:rPr>
        <w:rFonts w:ascii="Calibri" w:hAnsi="Calibri" w:cs="Calibri"/>
        <w:sz w:val="20"/>
        <w:szCs w:val="20"/>
      </w:rPr>
      <w:t xml:space="preserve">, faire de la </w:t>
    </w:r>
    <w:proofErr w:type="spellStart"/>
    <w:r w:rsidRPr="00254A26">
      <w:rPr>
        <w:rFonts w:ascii="Calibri" w:hAnsi="Calibri" w:cs="Calibri"/>
        <w:sz w:val="20"/>
        <w:szCs w:val="20"/>
      </w:rPr>
      <w:t>pâtisserie</w:t>
    </w:r>
    <w:proofErr w:type="spellEnd"/>
    <w:r w:rsidRPr="00254A26">
      <w:rPr>
        <w:rFonts w:ascii="Calibri" w:hAnsi="Calibri" w:cs="Calibri"/>
        <w:sz w:val="20"/>
        <w:szCs w:val="20"/>
      </w:rPr>
      <w:t xml:space="preserve"> et </w:t>
    </w:r>
    <w:proofErr w:type="spellStart"/>
    <w:r w:rsidRPr="00254A26">
      <w:rPr>
        <w:rFonts w:ascii="Calibri" w:hAnsi="Calibri" w:cs="Calibri"/>
        <w:sz w:val="20"/>
        <w:szCs w:val="20"/>
      </w:rPr>
      <w:t>ranger</w:t>
    </w:r>
    <w:proofErr w:type="spellEnd"/>
    <w:r w:rsidRPr="00254A26">
      <w:rPr>
        <w:rFonts w:ascii="Calibri" w:hAnsi="Calibri" w:cs="Calibri"/>
        <w:sz w:val="20"/>
        <w:szCs w:val="20"/>
      </w:rPr>
      <w:t xml:space="preserve"> </w:t>
    </w:r>
    <w:proofErr w:type="spellStart"/>
    <w:r w:rsidRPr="00254A26">
      <w:rPr>
        <w:rFonts w:ascii="Calibri" w:hAnsi="Calibri" w:cs="Calibri"/>
        <w:sz w:val="20"/>
        <w:szCs w:val="20"/>
      </w:rPr>
      <w:t>sans</w:t>
    </w:r>
    <w:proofErr w:type="spellEnd"/>
    <w:r w:rsidRPr="00254A26">
      <w:rPr>
        <w:rFonts w:ascii="Calibri" w:hAnsi="Calibri" w:cs="Calibri"/>
        <w:sz w:val="20"/>
        <w:szCs w:val="20"/>
      </w:rPr>
      <w:t xml:space="preserve"> </w:t>
    </w:r>
    <w:proofErr w:type="spellStart"/>
    <w:r w:rsidRPr="00254A26">
      <w:rPr>
        <w:rFonts w:ascii="Calibri" w:hAnsi="Calibri" w:cs="Calibri"/>
        <w:sz w:val="20"/>
        <w:szCs w:val="20"/>
      </w:rPr>
      <w:t>effort</w:t>
    </w:r>
    <w:proofErr w:type="spellEnd"/>
  </w:p>
  <w:p w14:paraId="049EEFF6" w14:textId="3383BD97" w:rsidR="00254A26" w:rsidRPr="00254A26" w:rsidRDefault="00254A26" w:rsidP="00254A26">
    <w:pPr>
      <w:pStyle w:val="Kopfzeile"/>
      <w:jc w:val="right"/>
      <w:rPr>
        <w:rFonts w:ascii="Calibri" w:hAnsi="Calibri" w:cs="Calibri"/>
        <w:sz w:val="20"/>
        <w:szCs w:val="20"/>
      </w:rPr>
    </w:pPr>
    <w:r w:rsidRPr="00254A26">
      <w:rPr>
        <w:rFonts w:ascii="Calibri" w:hAnsi="Calibri" w:cs="Calibri"/>
        <w:sz w:val="20"/>
        <w:szCs w:val="20"/>
      </w:rPr>
      <w:t xml:space="preserve">La </w:t>
    </w:r>
    <w:proofErr w:type="spellStart"/>
    <w:r w:rsidRPr="00254A26">
      <w:rPr>
        <w:rFonts w:ascii="Calibri" w:hAnsi="Calibri" w:cs="Calibri"/>
        <w:sz w:val="20"/>
        <w:szCs w:val="20"/>
      </w:rPr>
      <w:t>gamme</w:t>
    </w:r>
    <w:proofErr w:type="spellEnd"/>
    <w:r w:rsidRPr="00254A26">
      <w:rPr>
        <w:rFonts w:ascii="Calibri" w:hAnsi="Calibri" w:cs="Calibri"/>
        <w:sz w:val="20"/>
        <w:szCs w:val="20"/>
      </w:rPr>
      <w:t xml:space="preserve"> « Konda » de Ninka </w:t>
    </w:r>
    <w:proofErr w:type="spellStart"/>
    <w:r w:rsidRPr="00254A26">
      <w:rPr>
        <w:rFonts w:ascii="Calibri" w:hAnsi="Calibri" w:cs="Calibri"/>
        <w:sz w:val="20"/>
        <w:szCs w:val="20"/>
      </w:rPr>
      <w:t>s'agrandit</w:t>
    </w:r>
    <w:proofErr w:type="spellEnd"/>
    <w:r>
      <w:rPr>
        <w:rFonts w:ascii="Calibri" w:hAnsi="Calibri" w:cs="Calibri"/>
        <w:sz w:val="20"/>
        <w:szCs w:val="20"/>
      </w:rPr>
      <w:t xml:space="preserve"> – page </w:t>
    </w:r>
    <w:r w:rsidRPr="00254A26">
      <w:rPr>
        <w:rFonts w:ascii="Calibri" w:hAnsi="Calibri" w:cs="Calibri"/>
        <w:sz w:val="20"/>
        <w:szCs w:val="20"/>
      </w:rPr>
      <w:fldChar w:fldCharType="begin"/>
    </w:r>
    <w:r w:rsidRPr="00254A26">
      <w:rPr>
        <w:rFonts w:ascii="Calibri" w:hAnsi="Calibri" w:cs="Calibri"/>
        <w:sz w:val="20"/>
        <w:szCs w:val="20"/>
      </w:rPr>
      <w:instrText>PAGE   \* MERGEFORMAT</w:instrText>
    </w:r>
    <w:r w:rsidRPr="00254A26">
      <w:rPr>
        <w:rFonts w:ascii="Calibri" w:hAnsi="Calibri" w:cs="Calibri"/>
        <w:sz w:val="20"/>
        <w:szCs w:val="20"/>
      </w:rPr>
      <w:fldChar w:fldCharType="separate"/>
    </w:r>
    <w:r w:rsidRPr="00254A26">
      <w:rPr>
        <w:rFonts w:ascii="Calibri" w:hAnsi="Calibri" w:cs="Calibri"/>
        <w:sz w:val="20"/>
        <w:szCs w:val="20"/>
      </w:rPr>
      <w:t>1</w:t>
    </w:r>
    <w:r w:rsidRPr="00254A26">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504"/>
    <w:rsid w:val="00146C66"/>
    <w:rsid w:val="00254A26"/>
    <w:rsid w:val="00336237"/>
    <w:rsid w:val="0061503B"/>
    <w:rsid w:val="00644504"/>
    <w:rsid w:val="00676150"/>
    <w:rsid w:val="0071476F"/>
    <w:rsid w:val="00722432"/>
    <w:rsid w:val="007B2628"/>
    <w:rsid w:val="009F6946"/>
    <w:rsid w:val="00A31A58"/>
    <w:rsid w:val="00BC2250"/>
    <w:rsid w:val="00C31BEA"/>
    <w:rsid w:val="00C504A3"/>
    <w:rsid w:val="00DD0F27"/>
    <w:rsid w:val="00E52293"/>
    <w:rsid w:val="00EF3F68"/>
    <w:rsid w:val="00F929B4"/>
    <w:rsid w:val="00FA7136"/>
    <w:rsid w:val="00FE3B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CE967"/>
  <w15:chartTrackingRefBased/>
  <w15:docId w15:val="{22545C53-A3C7-4FAA-93F4-AE4783AF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44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44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4450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4450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4450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4450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4450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4450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4450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450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4450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4450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4450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4450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4450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4450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4450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44504"/>
    <w:rPr>
      <w:rFonts w:eastAsiaTheme="majorEastAsia" w:cstheme="majorBidi"/>
      <w:color w:val="272727" w:themeColor="text1" w:themeTint="D8"/>
    </w:rPr>
  </w:style>
  <w:style w:type="paragraph" w:styleId="Titel">
    <w:name w:val="Title"/>
    <w:basedOn w:val="Standard"/>
    <w:next w:val="Standard"/>
    <w:link w:val="TitelZchn"/>
    <w:uiPriority w:val="10"/>
    <w:qFormat/>
    <w:rsid w:val="0064450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4450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44504"/>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4450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4450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44504"/>
    <w:rPr>
      <w:i/>
      <w:iCs/>
      <w:color w:val="404040" w:themeColor="text1" w:themeTint="BF"/>
    </w:rPr>
  </w:style>
  <w:style w:type="paragraph" w:styleId="Listenabsatz">
    <w:name w:val="List Paragraph"/>
    <w:basedOn w:val="Standard"/>
    <w:uiPriority w:val="34"/>
    <w:qFormat/>
    <w:rsid w:val="00644504"/>
    <w:pPr>
      <w:ind w:left="720"/>
      <w:contextualSpacing/>
    </w:pPr>
  </w:style>
  <w:style w:type="character" w:styleId="IntensiveHervorhebung">
    <w:name w:val="Intense Emphasis"/>
    <w:basedOn w:val="Absatz-Standardschriftart"/>
    <w:uiPriority w:val="21"/>
    <w:qFormat/>
    <w:rsid w:val="00644504"/>
    <w:rPr>
      <w:i/>
      <w:iCs/>
      <w:color w:val="0F4761" w:themeColor="accent1" w:themeShade="BF"/>
    </w:rPr>
  </w:style>
  <w:style w:type="paragraph" w:styleId="IntensivesZitat">
    <w:name w:val="Intense Quote"/>
    <w:basedOn w:val="Standard"/>
    <w:next w:val="Standard"/>
    <w:link w:val="IntensivesZitatZchn"/>
    <w:uiPriority w:val="30"/>
    <w:qFormat/>
    <w:rsid w:val="00644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44504"/>
    <w:rPr>
      <w:i/>
      <w:iCs/>
      <w:color w:val="0F4761" w:themeColor="accent1" w:themeShade="BF"/>
    </w:rPr>
  </w:style>
  <w:style w:type="character" w:styleId="IntensiverVerweis">
    <w:name w:val="Intense Reference"/>
    <w:basedOn w:val="Absatz-Standardschriftart"/>
    <w:uiPriority w:val="32"/>
    <w:qFormat/>
    <w:rsid w:val="00644504"/>
    <w:rPr>
      <w:b/>
      <w:bCs/>
      <w:smallCaps/>
      <w:color w:val="0F4761" w:themeColor="accent1" w:themeShade="BF"/>
      <w:spacing w:val="5"/>
    </w:rPr>
  </w:style>
  <w:style w:type="paragraph" w:styleId="Kopfzeile">
    <w:name w:val="header"/>
    <w:basedOn w:val="Standard"/>
    <w:link w:val="KopfzeileZchn"/>
    <w:uiPriority w:val="99"/>
    <w:unhideWhenUsed/>
    <w:rsid w:val="00254A26"/>
    <w:pPr>
      <w:tabs>
        <w:tab w:val="center" w:pos="4536"/>
        <w:tab w:val="right" w:pos="9072"/>
      </w:tabs>
    </w:pPr>
  </w:style>
  <w:style w:type="character" w:customStyle="1" w:styleId="KopfzeileZchn">
    <w:name w:val="Kopfzeile Zchn"/>
    <w:basedOn w:val="Absatz-Standardschriftart"/>
    <w:link w:val="Kopfzeile"/>
    <w:uiPriority w:val="99"/>
    <w:rsid w:val="00254A26"/>
  </w:style>
  <w:style w:type="paragraph" w:styleId="Fuzeile">
    <w:name w:val="footer"/>
    <w:basedOn w:val="Standard"/>
    <w:link w:val="FuzeileZchn"/>
    <w:uiPriority w:val="99"/>
    <w:unhideWhenUsed/>
    <w:rsid w:val="00254A26"/>
    <w:pPr>
      <w:tabs>
        <w:tab w:val="center" w:pos="4536"/>
        <w:tab w:val="right" w:pos="9072"/>
      </w:tabs>
    </w:pPr>
  </w:style>
  <w:style w:type="character" w:customStyle="1" w:styleId="FuzeileZchn">
    <w:name w:val="Fußzeile Zchn"/>
    <w:basedOn w:val="Absatz-Standardschriftart"/>
    <w:link w:val="Fuzeile"/>
    <w:uiPriority w:val="99"/>
    <w:rsid w:val="00254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2391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2026-09-16T10:16:00Z</dcterms:created>
  <dcterms:modified xsi:type="dcterms:W3CDTF">2026-09-16T10:16:00Z</dcterms:modified>
</cp:coreProperties>
</file>